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A72E8" w14:textId="6A4A0057" w:rsidR="00A3371B" w:rsidRDefault="00E964E0">
      <w:pPr>
        <w:spacing w:after="160" w:line="259" w:lineRule="auto"/>
        <w:rPr>
          <w:rFonts w:eastAsia="MS Mincho" w:cs="Times New Roman"/>
          <w:b/>
          <w:bCs/>
          <w:caps/>
          <w:sz w:val="20"/>
          <w:szCs w:val="24"/>
          <w:lang w:eastAsia="fr-FR"/>
        </w:rPr>
      </w:pPr>
      <w:r>
        <w:rPr>
          <w:rFonts w:eastAsia="MS Mincho" w:cs="Times New Roman"/>
          <w:b/>
          <w:bCs/>
          <w:caps/>
          <w:sz w:val="20"/>
          <w:szCs w:val="24"/>
          <w:lang w:eastAsia="fr-FR"/>
        </w:rPr>
        <w:t>Final Clean uP</w:t>
      </w:r>
    </w:p>
    <w:p w14:paraId="55BEC238" w14:textId="77777777" w:rsidR="00A3371B" w:rsidRPr="000108B5" w:rsidRDefault="00A3371B" w:rsidP="00A3371B">
      <w:pPr>
        <w:pStyle w:val="BOLDCAPSCENTERED"/>
        <w:ind w:left="720"/>
        <w:jc w:val="left"/>
        <w:rPr>
          <w:rFonts w:eastAsia="MS Mincho" w:cs="Times New Roman"/>
          <w:caps w:val="0"/>
          <w:sz w:val="20"/>
          <w:szCs w:val="24"/>
          <w:lang w:eastAsia="fr-FR"/>
        </w:rPr>
      </w:pPr>
      <w:r w:rsidRPr="000108B5">
        <w:rPr>
          <w:rFonts w:eastAsia="MS Mincho" w:cs="Times New Roman"/>
          <w:caps w:val="0"/>
          <w:sz w:val="20"/>
          <w:szCs w:val="24"/>
          <w:lang w:eastAsia="fr-FR"/>
        </w:rPr>
        <w:t>7.9.4</w:t>
      </w:r>
      <w:r w:rsidRPr="000108B5">
        <w:rPr>
          <w:rFonts w:eastAsia="MS Mincho" w:cs="Times New Roman"/>
          <w:caps w:val="0"/>
          <w:sz w:val="20"/>
          <w:szCs w:val="24"/>
          <w:lang w:eastAsia="fr-FR"/>
        </w:rPr>
        <w:tab/>
        <w:t>GBAS-BASED APPROACH PROCEDURES</w:t>
      </w:r>
    </w:p>
    <w:p w14:paraId="122DB62A" w14:textId="77777777" w:rsidR="00A3371B" w:rsidRDefault="00A3371B" w:rsidP="00A3371B">
      <w:pPr>
        <w:pStyle w:val="BOLDCAPSCENTERED"/>
        <w:spacing w:before="240" w:after="240"/>
        <w:ind w:left="720"/>
        <w:jc w:val="left"/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</w:pPr>
      <w:r w:rsidRPr="000108B5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7.9.4.1   T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he GBAS landing system (GLS) is a GNSS based </w:t>
      </w:r>
      <w:r w:rsidRPr="003D0BA0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precision approach system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, as described in section 1.4.2.3. A technical overview is provided in section 4.4. With respect to ILS, GBAS has </w:t>
      </w:r>
      <w:proofErr w:type="gramStart"/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no</w:t>
      </w:r>
      <w:proofErr w:type="gramEnd"/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operationally relevant sensitive or critical area that has to be protected.</w:t>
      </w:r>
    </w:p>
    <w:p w14:paraId="582B38D6" w14:textId="77777777" w:rsidR="00AC5506" w:rsidRDefault="00AC5506" w:rsidP="00A3371B">
      <w:pPr>
        <w:pStyle w:val="BOLDCAPSCENTERED"/>
        <w:spacing w:after="240"/>
        <w:ind w:left="720"/>
        <w:jc w:val="left"/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</w:pPr>
      <w:r w:rsidRPr="00AC5506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7.9.4.2 GLS procedures are designed according to PANS OPS Vol II. The design criteria are very similar to ILS, although, with the possibility of designing a standard GLS procedure up to 3.2° glide path angle for CATII/III operation, which is not allowed in standard ILS procedures, GLS may thus provide flexibility to allow noise reduction and support low visibility operations at the same time.</w:t>
      </w:r>
    </w:p>
    <w:p w14:paraId="2F319ED9" w14:textId="59F647BE" w:rsidR="00A3371B" w:rsidRPr="00946621" w:rsidRDefault="00A3371B" w:rsidP="00A3371B">
      <w:pPr>
        <w:pStyle w:val="BOLDCAPSCENTERED"/>
        <w:spacing w:after="240"/>
        <w:ind w:left="720"/>
        <w:jc w:val="left"/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</w:pPr>
      <w:r w:rsidRPr="001A0C8E">
        <w:rPr>
          <w:b w:val="0"/>
          <w:bCs w:val="0"/>
          <w:lang w:val="en-GB"/>
        </w:rPr>
        <w:t>7.9.4.</w:t>
      </w:r>
      <w:r>
        <w:rPr>
          <w:b w:val="0"/>
          <w:bCs w:val="0"/>
          <w:lang w:val="en-GB"/>
        </w:rPr>
        <w:t>3</w:t>
      </w:r>
      <w:r w:rsidRPr="001A0C8E">
        <w:rPr>
          <w:b w:val="0"/>
          <w:bCs w:val="0"/>
          <w:lang w:val="en-GB"/>
        </w:rPr>
        <w:t xml:space="preserve"> </w:t>
      </w:r>
      <w:r w:rsidRPr="00757C22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Nominally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,</w:t>
      </w:r>
      <w:r w:rsidRPr="00757C22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</w:t>
      </w:r>
      <w:r w:rsidRPr="00946621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GBAS GAST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</w:t>
      </w:r>
      <w:r w:rsidRPr="00946621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C supports CAT</w:t>
      </w:r>
      <w:r w:rsidRPr="00757C22">
        <w:rPr>
          <w:b w:val="0"/>
          <w:bCs w:val="0"/>
          <w:caps w:val="0"/>
          <w:color w:val="00B050"/>
          <w:sz w:val="20"/>
          <w:szCs w:val="20"/>
          <w:lang w:eastAsia="fr-FR"/>
        </w:rPr>
        <w:t xml:space="preserve"> </w:t>
      </w:r>
      <w:r w:rsidRPr="00ED533B">
        <w:rPr>
          <w:b w:val="0"/>
          <w:bCs w:val="0"/>
          <w:caps w:val="0"/>
          <w:sz w:val="20"/>
          <w:szCs w:val="20"/>
          <w:lang w:eastAsia="fr-FR"/>
        </w:rPr>
        <w:t>I</w:t>
      </w:r>
      <w:r>
        <w:rPr>
          <w:b w:val="0"/>
          <w:bCs w:val="0"/>
          <w:caps w:val="0"/>
          <w:sz w:val="20"/>
          <w:szCs w:val="20"/>
          <w:lang w:eastAsia="fr-FR"/>
        </w:rPr>
        <w:t>,</w:t>
      </w:r>
      <w:r w:rsidRPr="00946621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and GAST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</w:t>
      </w:r>
      <w:r w:rsidRPr="00946621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D supports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CAT</w:t>
      </w:r>
      <w:r w:rsidRPr="00946621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</w:t>
      </w:r>
      <w:r w:rsidRPr="008E4E3A">
        <w:rPr>
          <w:b w:val="0"/>
          <w:bCs w:val="0"/>
          <w:caps w:val="0"/>
          <w:sz w:val="20"/>
          <w:szCs w:val="20"/>
          <w:lang w:eastAsia="fr-FR"/>
        </w:rPr>
        <w:t>II/III</w:t>
      </w:r>
      <w:r w:rsidRPr="00946621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. In addition, with additional </w:t>
      </w:r>
      <w:r w:rsidRPr="00541704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performance available in some regions,</w:t>
      </w:r>
      <w:r w:rsidRPr="00946621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</w:t>
      </w:r>
      <w:r w:rsidRPr="00541704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subject to an extended approval of both ground subsystems and aircraft, </w:t>
      </w:r>
      <w:r w:rsidRPr="00946621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CAT</w:t>
      </w:r>
      <w:r w:rsidRPr="000546DA">
        <w:rPr>
          <w:b w:val="0"/>
          <w:bCs w:val="0"/>
          <w:caps w:val="0"/>
          <w:color w:val="00B050"/>
          <w:sz w:val="20"/>
          <w:szCs w:val="20"/>
          <w:lang w:eastAsia="fr-FR"/>
        </w:rPr>
        <w:t xml:space="preserve"> </w:t>
      </w:r>
      <w:r w:rsidRPr="008E4E3A">
        <w:rPr>
          <w:b w:val="0"/>
          <w:bCs w:val="0"/>
          <w:caps w:val="0"/>
          <w:sz w:val="20"/>
          <w:szCs w:val="20"/>
          <w:lang w:eastAsia="fr-FR"/>
        </w:rPr>
        <w:t>II</w:t>
      </w:r>
      <w:r w:rsidRPr="008E4E3A" w:rsidDel="000546DA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</w:t>
      </w:r>
      <w:r w:rsidRPr="00946621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with GBAS GAST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</w:t>
      </w:r>
      <w:r w:rsidRPr="00946621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C </w:t>
      </w:r>
      <w:r w:rsidRPr="000546DA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can be performed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using</w:t>
      </w:r>
      <w:r w:rsidRPr="000E4066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standard GAST C avionics and 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based on </w:t>
      </w:r>
      <w:r w:rsidRPr="000E4066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GBAS GAST C ground station 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with additional ionosphere</w:t>
      </w:r>
      <w:r w:rsidR="00191B1E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</w:t>
      </w:r>
      <w:proofErr w:type="spellStart"/>
      <w:r w:rsidR="00191B1E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monitioring</w:t>
      </w:r>
      <w:proofErr w:type="spellEnd"/>
      <w:r w:rsidR="00191B1E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(e.g., </w:t>
      </w:r>
      <w:r w:rsidRPr="000E4066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using SBAS 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ionosphere information).</w:t>
      </w:r>
      <w:r w:rsidRPr="00EC7F7D">
        <w:t xml:space="preserve"> </w:t>
      </w:r>
      <w:r w:rsidRPr="00EC7F7D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A detailed concept of operations concerning CAT II operations on GAST C</w:t>
      </w:r>
      <w:proofErr w:type="gramStart"/>
      <w:r w:rsidRPr="008A01F1">
        <w:rPr>
          <w:rFonts w:eastAsia="MS Mincho" w:cs="Times New Roman"/>
          <w:b w:val="0"/>
          <w:bCs w:val="0"/>
          <w:caps w:val="0"/>
          <w:sz w:val="20"/>
          <w:szCs w:val="24"/>
          <w:vertAlign w:val="superscript"/>
          <w:lang w:eastAsia="fr-FR"/>
        </w:rPr>
        <w:t>1</w:t>
      </w:r>
      <w:r w:rsidRPr="00E964E0">
        <w:rPr>
          <w:rFonts w:eastAsia="MS Mincho" w:cs="Times New Roman"/>
          <w:b w:val="0"/>
          <w:bCs w:val="0"/>
          <w:caps w:val="0"/>
          <w:color w:val="FF0000"/>
          <w:sz w:val="20"/>
          <w:szCs w:val="24"/>
          <w:lang w:eastAsia="fr-FR"/>
        </w:rPr>
        <w:t xml:space="preserve"> </w:t>
      </w:r>
      <w:r w:rsidRPr="00EC7F7D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was</w:t>
      </w:r>
      <w:proofErr w:type="gramEnd"/>
      <w:r w:rsidRPr="00EC7F7D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already presented at ICAO Navigation System Panel (NSP)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.</w:t>
      </w:r>
      <w:r w:rsidRPr="00EC7F7D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T</w:t>
      </w:r>
      <w:r w:rsidRPr="00EC7F7D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here 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is a</w:t>
      </w:r>
      <w:r w:rsidRPr="00EC7F7D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plan of publication and future updates based on operational experience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.</w:t>
      </w:r>
    </w:p>
    <w:p w14:paraId="1DA7C1D4" w14:textId="77777777" w:rsidR="00A3371B" w:rsidRDefault="00A3371B" w:rsidP="00A3371B">
      <w:pPr>
        <w:pStyle w:val="BOLDCAPSCENTERED"/>
        <w:spacing w:after="240"/>
        <w:ind w:left="720"/>
        <w:jc w:val="left"/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</w:pPr>
      <w:r w:rsidRPr="001A0C8E">
        <w:rPr>
          <w:b w:val="0"/>
          <w:bCs w:val="0"/>
          <w:lang w:val="en-GB"/>
        </w:rPr>
        <w:t>7.9.4.</w:t>
      </w:r>
      <w:r>
        <w:rPr>
          <w:b w:val="0"/>
          <w:bCs w:val="0"/>
          <w:lang w:val="en-GB"/>
        </w:rPr>
        <w:t>4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. </w:t>
      </w:r>
      <w:r w:rsidRPr="000546DA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The CAT II operations on GAST C are using adapted FAS data, based on the CAT III 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procedure </w:t>
      </w:r>
      <w:r w:rsidRPr="000546DA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design criteria, with APD=1, but FASLAL reduced to 10m. Additional 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functions</w:t>
      </w:r>
      <w:r w:rsidRPr="000546DA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to ATC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and maintenance interfaces</w:t>
      </w:r>
      <w:r w:rsidRPr="000546DA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are required, allowing a fall-back to CAT I performance, if required. This fall-back will be communicated to pilots via radiotelephony. Aircraft operation is also adapted, </w:t>
      </w:r>
      <w:proofErr w:type="gramStart"/>
      <w:r w:rsidRPr="000546DA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taking into account</w:t>
      </w:r>
      <w:proofErr w:type="gramEnd"/>
      <w:r w:rsidRPr="000546DA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the more stringent requirements of CAT II operations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(see EASA CS AWO and FAA Order 6750.24). </w:t>
      </w:r>
    </w:p>
    <w:p w14:paraId="34A13C14" w14:textId="77777777" w:rsidR="00A3371B" w:rsidRDefault="00A3371B" w:rsidP="00A3371B">
      <w:pPr>
        <w:pStyle w:val="BOLDCAPSCENTERED"/>
        <w:spacing w:after="240"/>
        <w:ind w:left="720"/>
        <w:jc w:val="left"/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</w:pPr>
      <w:r w:rsidRPr="00411E66">
        <w:rPr>
          <w:b w:val="0"/>
          <w:bCs w:val="0"/>
          <w:lang w:val="en-GB"/>
        </w:rPr>
        <w:t>7.9.4.</w:t>
      </w:r>
      <w:r w:rsidRPr="00ED533B">
        <w:rPr>
          <w:b w:val="0"/>
          <w:bCs w:val="0"/>
          <w:lang w:val="en-GB"/>
        </w:rPr>
        <w:t>5</w:t>
      </w:r>
      <w:r w:rsidRPr="00807777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GBAS 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is</w:t>
      </w:r>
      <w:r w:rsidRPr="00807777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currently based on a single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or dual </w:t>
      </w:r>
      <w:r w:rsidRPr="00807777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constellation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with</w:t>
      </w:r>
      <w:r w:rsidRPr="00807777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a single </w:t>
      </w:r>
      <w:r w:rsidRPr="00807777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frequency.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</w:t>
      </w:r>
      <w:r w:rsidRPr="00807777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DFMC GBAS 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supporting CAT II/III operation </w:t>
      </w:r>
      <w:r w:rsidRPr="00807777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is 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the next evolution as described in section 6.9.3</w:t>
      </w:r>
    </w:p>
    <w:p w14:paraId="288A8B42" w14:textId="77777777" w:rsidR="00A3371B" w:rsidRDefault="00A3371B" w:rsidP="00A3371B">
      <w:pPr>
        <w:spacing w:after="160" w:line="259" w:lineRule="auto"/>
      </w:pPr>
    </w:p>
    <w:p w14:paraId="660D1B19" w14:textId="77777777" w:rsidR="00A3371B" w:rsidRDefault="00A3371B" w:rsidP="00A3371B">
      <w:pPr>
        <w:spacing w:after="160" w:line="259" w:lineRule="auto"/>
        <w:ind w:left="360"/>
      </w:pPr>
      <w:r>
        <w:t xml:space="preserve">Foot </w:t>
      </w:r>
      <w:proofErr w:type="gramStart"/>
      <w:r>
        <w:t>note( If</w:t>
      </w:r>
      <w:proofErr w:type="gramEnd"/>
      <w:r>
        <w:t xml:space="preserve"> required) </w:t>
      </w:r>
    </w:p>
    <w:p w14:paraId="4181B71C" w14:textId="44F59ED5" w:rsidR="00A3371B" w:rsidRPr="006D0544" w:rsidRDefault="00A3371B" w:rsidP="006D0544">
      <w:pPr>
        <w:pStyle w:val="ListParagraph"/>
        <w:numPr>
          <w:ilvl w:val="0"/>
          <w:numId w:val="24"/>
        </w:numPr>
        <w:spacing w:after="160" w:line="259" w:lineRule="auto"/>
        <w:rPr>
          <w:rFonts w:ascii="Arial" w:eastAsia="MS Mincho" w:hAnsi="Arial" w:cs="Times New Roman"/>
          <w:sz w:val="20"/>
          <w:szCs w:val="24"/>
          <w:lang w:eastAsia="fr-FR"/>
        </w:rPr>
      </w:pPr>
      <w:r>
        <w:t xml:space="preserve">Working paper 19, Navigation System </w:t>
      </w:r>
      <w:proofErr w:type="gramStart"/>
      <w:r>
        <w:t>Panel</w:t>
      </w:r>
      <w:r w:rsidR="00DA2711">
        <w:t>,</w:t>
      </w:r>
      <w:r>
        <w:t xml:space="preserve">  Joint</w:t>
      </w:r>
      <w:proofErr w:type="gramEnd"/>
      <w:r>
        <w:t xml:space="preserve"> working Group 7  (NSP JWG/7) </w:t>
      </w:r>
    </w:p>
    <w:p w14:paraId="36CB5B77" w14:textId="77777777" w:rsidR="00477E55" w:rsidRPr="00BC0ADB" w:rsidRDefault="00477E55" w:rsidP="00663EFD">
      <w:pPr>
        <w:pStyle w:val="BodyText"/>
      </w:pPr>
    </w:p>
    <w:sectPr w:rsidR="00477E55" w:rsidRPr="00BC0ADB" w:rsidSect="008A1235">
      <w:headerReference w:type="first" r:id="rId8"/>
      <w:pgSz w:w="11906" w:h="16838" w:code="9"/>
      <w:pgMar w:top="1728" w:right="907" w:bottom="1138" w:left="907" w:header="749" w:footer="6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501A0" w14:textId="77777777" w:rsidR="00EA6063" w:rsidRDefault="00EA6063" w:rsidP="002513AD">
      <w:r>
        <w:separator/>
      </w:r>
    </w:p>
    <w:p w14:paraId="57CC2AAB" w14:textId="77777777" w:rsidR="00EA6063" w:rsidRDefault="00EA6063"/>
    <w:p w14:paraId="4E8DD044" w14:textId="77777777" w:rsidR="00EA6063" w:rsidRDefault="00EA6063"/>
  </w:endnote>
  <w:endnote w:type="continuationSeparator" w:id="0">
    <w:p w14:paraId="6DF5D764" w14:textId="77777777" w:rsidR="00EA6063" w:rsidRDefault="00EA6063" w:rsidP="002513AD">
      <w:r>
        <w:continuationSeparator/>
      </w:r>
    </w:p>
    <w:p w14:paraId="0B54FE5C" w14:textId="77777777" w:rsidR="00EA6063" w:rsidRDefault="00EA6063"/>
    <w:p w14:paraId="56AEB99B" w14:textId="77777777" w:rsidR="00EA6063" w:rsidRDefault="00EA60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tiv Grotesk">
    <w:panose1 w:val="020B0504020202020204"/>
    <w:charset w:val="00"/>
    <w:family w:val="swiss"/>
    <w:pitch w:val="variable"/>
    <w:sig w:usb0="E100AAFF" w:usb1="D000FFFB" w:usb2="00000028" w:usb3="00000000" w:csb0="000101FF" w:csb1="00000000"/>
    <w:embedRegular r:id="rId1" w:fontKey="{8BC05331-8E9A-444A-93DD-2072D724953E}"/>
    <w:embedBold r:id="rId2" w:fontKey="{9CDBAC9F-861E-4990-877B-55202B7A44C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035E5DE-8676-4655-9A51-F6F08E1E8526}"/>
    <w:embedBold r:id="rId4" w:fontKey="{512777BA-F554-4985-AC74-924CB75B093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ktiv Grotesk Thin">
    <w:panose1 w:val="020B0404020202020204"/>
    <w:charset w:val="00"/>
    <w:family w:val="swiss"/>
    <w:pitch w:val="variable"/>
    <w:sig w:usb0="A00000EF" w:usb1="5000205B" w:usb2="00000008" w:usb3="00000000" w:csb0="00000093" w:csb1="00000000"/>
    <w:embedRegular r:id="rId5" w:fontKey="{3DB89063-AB56-4153-8952-5564DCCFD8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3B072870-F22D-4DE8-8444-C65B41740B4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0826D7" w14:textId="77777777" w:rsidR="00EA6063" w:rsidRDefault="00EA6063" w:rsidP="002513AD">
      <w:r>
        <w:separator/>
      </w:r>
    </w:p>
    <w:p w14:paraId="69C6ADE4" w14:textId="77777777" w:rsidR="00EA6063" w:rsidRDefault="00EA6063"/>
    <w:p w14:paraId="0609EEFB" w14:textId="77777777" w:rsidR="00EA6063" w:rsidRDefault="00EA6063"/>
  </w:footnote>
  <w:footnote w:type="continuationSeparator" w:id="0">
    <w:p w14:paraId="175963E2" w14:textId="77777777" w:rsidR="00EA6063" w:rsidRDefault="00EA6063" w:rsidP="002513AD">
      <w:r>
        <w:continuationSeparator/>
      </w:r>
    </w:p>
    <w:p w14:paraId="5B5986C7" w14:textId="77777777" w:rsidR="00EA6063" w:rsidRDefault="00EA6063"/>
    <w:p w14:paraId="14946A8B" w14:textId="77777777" w:rsidR="00EA6063" w:rsidRDefault="00EA606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A21FD" w14:textId="77777777" w:rsidR="00612676" w:rsidRPr="008A1235" w:rsidRDefault="00612676" w:rsidP="008A1235">
    <w:pPr>
      <w:pStyle w:val="Header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19AAF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92866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A480ED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70EEA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48064C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2033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E4E0C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AD44D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EF0C4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0A37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1477D9"/>
    <w:multiLevelType w:val="multilevel"/>
    <w:tmpl w:val="E550C464"/>
    <w:styleLink w:val="ListNumbers"/>
    <w:lvl w:ilvl="0">
      <w:start w:val="1"/>
      <w:numFmt w:val="decimal"/>
      <w:pStyle w:val="ListNumber"/>
      <w:lvlText w:val="%1."/>
      <w:lvlJc w:val="left"/>
      <w:pPr>
        <w:tabs>
          <w:tab w:val="num" w:pos="578"/>
        </w:tabs>
        <w:ind w:left="578" w:hanging="289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68"/>
        </w:tabs>
        <w:ind w:left="868" w:hanging="29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157"/>
        </w:tabs>
        <w:ind w:left="1157" w:hanging="289"/>
      </w:pPr>
      <w:rPr>
        <w:rFonts w:hint="default"/>
      </w:rPr>
    </w:lvl>
    <w:lvl w:ilvl="3">
      <w:start w:val="1"/>
      <w:numFmt w:val="none"/>
      <w:lvlText w:val=""/>
      <w:lvlJc w:val="left"/>
      <w:pPr>
        <w:ind w:left="1157" w:hanging="289"/>
      </w:pPr>
      <w:rPr>
        <w:rFonts w:hint="default"/>
      </w:rPr>
    </w:lvl>
    <w:lvl w:ilvl="4">
      <w:start w:val="1"/>
      <w:numFmt w:val="none"/>
      <w:lvlText w:val=""/>
      <w:lvlJc w:val="left"/>
      <w:pPr>
        <w:ind w:left="1157" w:hanging="289"/>
      </w:pPr>
      <w:rPr>
        <w:rFonts w:hint="default"/>
      </w:rPr>
    </w:lvl>
    <w:lvl w:ilvl="5">
      <w:start w:val="1"/>
      <w:numFmt w:val="none"/>
      <w:lvlText w:val=""/>
      <w:lvlJc w:val="right"/>
      <w:pPr>
        <w:ind w:left="1157" w:hanging="289"/>
      </w:pPr>
      <w:rPr>
        <w:rFonts w:hint="default"/>
      </w:rPr>
    </w:lvl>
    <w:lvl w:ilvl="6">
      <w:start w:val="1"/>
      <w:numFmt w:val="none"/>
      <w:lvlText w:val=""/>
      <w:lvlJc w:val="left"/>
      <w:pPr>
        <w:ind w:left="1157" w:hanging="289"/>
      </w:pPr>
      <w:rPr>
        <w:rFonts w:hint="default"/>
      </w:rPr>
    </w:lvl>
    <w:lvl w:ilvl="7">
      <w:start w:val="1"/>
      <w:numFmt w:val="none"/>
      <w:lvlText w:val="%8"/>
      <w:lvlJc w:val="left"/>
      <w:pPr>
        <w:ind w:left="1157" w:hanging="289"/>
      </w:pPr>
      <w:rPr>
        <w:rFonts w:hint="default"/>
      </w:rPr>
    </w:lvl>
    <w:lvl w:ilvl="8">
      <w:start w:val="1"/>
      <w:numFmt w:val="none"/>
      <w:lvlText w:val="%9"/>
      <w:lvlJc w:val="left"/>
      <w:pPr>
        <w:ind w:left="1157" w:hanging="289"/>
      </w:pPr>
      <w:rPr>
        <w:rFonts w:hint="default"/>
      </w:rPr>
    </w:lvl>
  </w:abstractNum>
  <w:abstractNum w:abstractNumId="11" w15:restartNumberingAfterBreak="0">
    <w:nsid w:val="18A355FD"/>
    <w:multiLevelType w:val="multilevel"/>
    <w:tmpl w:val="BD5ABF62"/>
    <w:numStyleLink w:val="ListBullets"/>
  </w:abstractNum>
  <w:abstractNum w:abstractNumId="12" w15:restartNumberingAfterBreak="0">
    <w:nsid w:val="23227CE4"/>
    <w:multiLevelType w:val="multilevel"/>
    <w:tmpl w:val="BD5ABF62"/>
    <w:styleLink w:val="ListBullets"/>
    <w:lvl w:ilvl="0">
      <w:start w:val="1"/>
      <w:numFmt w:val="bullet"/>
      <w:pStyle w:val="ListBullet"/>
      <w:lvlText w:val="▪"/>
      <w:lvlJc w:val="left"/>
      <w:pPr>
        <w:tabs>
          <w:tab w:val="num" w:pos="578"/>
        </w:tabs>
        <w:ind w:left="578" w:hanging="289"/>
      </w:pPr>
      <w:rPr>
        <w:rFonts w:ascii="Aktiv Grotesk" w:hAnsi="Aktiv Grotesk" w:hint="default"/>
        <w:color w:val="1E32FA" w:themeColor="accent1"/>
      </w:rPr>
    </w:lvl>
    <w:lvl w:ilvl="1">
      <w:start w:val="1"/>
      <w:numFmt w:val="bullet"/>
      <w:lvlText w:val="‒"/>
      <w:lvlJc w:val="left"/>
      <w:pPr>
        <w:tabs>
          <w:tab w:val="num" w:pos="868"/>
        </w:tabs>
        <w:ind w:left="868" w:hanging="290"/>
      </w:pPr>
      <w:rPr>
        <w:rFonts w:ascii="Aktiv Grotesk" w:hAnsi="Aktiv Grotesk" w:hint="default"/>
        <w:color w:val="1E32FA" w:themeColor="accent1"/>
      </w:rPr>
    </w:lvl>
    <w:lvl w:ilvl="2">
      <w:start w:val="1"/>
      <w:numFmt w:val="bullet"/>
      <w:lvlText w:val="▪"/>
      <w:lvlJc w:val="left"/>
      <w:pPr>
        <w:tabs>
          <w:tab w:val="num" w:pos="1157"/>
        </w:tabs>
        <w:ind w:left="1157" w:hanging="289"/>
      </w:pPr>
      <w:rPr>
        <w:rFonts w:ascii="Aktiv Grotesk" w:hAnsi="Aktiv Grotesk" w:hint="default"/>
        <w:color w:val="1E32FA" w:themeColor="accent1"/>
      </w:rPr>
    </w:lvl>
    <w:lvl w:ilvl="3">
      <w:start w:val="1"/>
      <w:numFmt w:val="none"/>
      <w:lvlText w:val="%4"/>
      <w:lvlJc w:val="left"/>
      <w:pPr>
        <w:tabs>
          <w:tab w:val="num" w:pos="360"/>
        </w:tabs>
        <w:ind w:left="1157" w:hanging="289"/>
      </w:pPr>
      <w:rPr>
        <w:rFonts w:asciiTheme="minorHAnsi" w:hAnsiTheme="minorHAnsi" w:hint="default"/>
      </w:rPr>
    </w:lvl>
    <w:lvl w:ilvl="4">
      <w:start w:val="1"/>
      <w:numFmt w:val="none"/>
      <w:lvlText w:val="%5"/>
      <w:lvlJc w:val="left"/>
      <w:pPr>
        <w:tabs>
          <w:tab w:val="num" w:pos="360"/>
        </w:tabs>
        <w:ind w:left="1157" w:hanging="289"/>
      </w:pPr>
      <w:rPr>
        <w:rFonts w:asciiTheme="minorHAnsi" w:hAnsiTheme="minorHAnsi" w:cs="Courier New" w:hint="default"/>
      </w:rPr>
    </w:lvl>
    <w:lvl w:ilvl="5">
      <w:start w:val="1"/>
      <w:numFmt w:val="none"/>
      <w:lvlText w:val="%6"/>
      <w:lvlJc w:val="left"/>
      <w:pPr>
        <w:tabs>
          <w:tab w:val="num" w:pos="360"/>
        </w:tabs>
        <w:ind w:left="1157" w:hanging="289"/>
      </w:pPr>
      <w:rPr>
        <w:rFonts w:asciiTheme="minorHAnsi" w:hAnsiTheme="minorHAnsi" w:hint="default"/>
      </w:rPr>
    </w:lvl>
    <w:lvl w:ilvl="6">
      <w:start w:val="1"/>
      <w:numFmt w:val="none"/>
      <w:lvlText w:val="%7"/>
      <w:lvlJc w:val="left"/>
      <w:pPr>
        <w:tabs>
          <w:tab w:val="num" w:pos="360"/>
        </w:tabs>
        <w:ind w:left="1157" w:hanging="289"/>
      </w:pPr>
      <w:rPr>
        <w:rFonts w:asciiTheme="minorHAnsi" w:hAnsiTheme="minorHAnsi" w:hint="default"/>
      </w:rPr>
    </w:lvl>
    <w:lvl w:ilvl="7">
      <w:start w:val="1"/>
      <w:numFmt w:val="none"/>
      <w:lvlText w:val="%8"/>
      <w:lvlJc w:val="left"/>
      <w:pPr>
        <w:tabs>
          <w:tab w:val="num" w:pos="360"/>
        </w:tabs>
        <w:ind w:left="1157" w:hanging="289"/>
      </w:pPr>
      <w:rPr>
        <w:rFonts w:asciiTheme="minorHAnsi" w:hAnsiTheme="minorHAnsi" w:cs="Courier New" w:hint="default"/>
      </w:rPr>
    </w:lvl>
    <w:lvl w:ilvl="8">
      <w:start w:val="1"/>
      <w:numFmt w:val="none"/>
      <w:lvlText w:val="%9"/>
      <w:lvlJc w:val="left"/>
      <w:pPr>
        <w:tabs>
          <w:tab w:val="num" w:pos="360"/>
        </w:tabs>
        <w:ind w:left="1157" w:hanging="289"/>
      </w:pPr>
      <w:rPr>
        <w:rFonts w:asciiTheme="minorHAnsi" w:hAnsiTheme="minorHAnsi" w:hint="default"/>
      </w:rPr>
    </w:lvl>
  </w:abstractNum>
  <w:abstractNum w:abstractNumId="13" w15:restartNumberingAfterBreak="0">
    <w:nsid w:val="2CED34E4"/>
    <w:multiLevelType w:val="multilevel"/>
    <w:tmpl w:val="BD5ABF62"/>
    <w:numStyleLink w:val="ListBullets"/>
  </w:abstractNum>
  <w:abstractNum w:abstractNumId="14" w15:restartNumberingAfterBreak="0">
    <w:nsid w:val="43F4241E"/>
    <w:multiLevelType w:val="hybridMultilevel"/>
    <w:tmpl w:val="9F724D6A"/>
    <w:lvl w:ilvl="0" w:tplc="6C02F4B0">
      <w:start w:val="1"/>
      <w:numFmt w:val="decimal"/>
      <w:lvlText w:val="%1."/>
      <w:lvlJc w:val="left"/>
      <w:pPr>
        <w:ind w:left="720" w:hanging="360"/>
      </w:pPr>
      <w:rPr>
        <w:rFonts w:ascii="Calibri" w:eastAsiaTheme="minorEastAsia" w:hAnsi="Calibri" w:cs="Calibri" w:hint="default"/>
        <w:sz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6A0E28"/>
    <w:multiLevelType w:val="multilevel"/>
    <w:tmpl w:val="BD5ABF62"/>
    <w:numStyleLink w:val="ListBullets"/>
  </w:abstractNum>
  <w:abstractNum w:abstractNumId="16" w15:restartNumberingAfterBreak="0">
    <w:nsid w:val="54CD7B84"/>
    <w:multiLevelType w:val="hybridMultilevel"/>
    <w:tmpl w:val="27F0711E"/>
    <w:lvl w:ilvl="0" w:tplc="74C29EBC">
      <w:start w:val="1"/>
      <w:numFmt w:val="decimal"/>
      <w:lvlText w:val="%1."/>
      <w:lvlJc w:val="left"/>
      <w:pPr>
        <w:ind w:left="720" w:hanging="360"/>
      </w:pPr>
      <w:rPr>
        <w:rFonts w:ascii="Calibri" w:eastAsiaTheme="minorEastAsia" w:hAnsi="Calibri" w:cs="Calibri" w:hint="default"/>
        <w:sz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9B7B76"/>
    <w:multiLevelType w:val="hybridMultilevel"/>
    <w:tmpl w:val="56101EE8"/>
    <w:lvl w:ilvl="0" w:tplc="EC68E658">
      <w:start w:val="1"/>
      <w:numFmt w:val="decimal"/>
      <w:lvlText w:val="%1."/>
      <w:lvlJc w:val="left"/>
      <w:pPr>
        <w:ind w:left="720" w:hanging="360"/>
      </w:pPr>
      <w:rPr>
        <w:rFonts w:ascii="Calibri" w:eastAsiaTheme="minorEastAsia" w:hAnsi="Calibri" w:cs="Calibri" w:hint="default"/>
        <w:sz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B67D0B"/>
    <w:multiLevelType w:val="multilevel"/>
    <w:tmpl w:val="BD5ABF62"/>
    <w:numStyleLink w:val="ListBullets"/>
  </w:abstractNum>
  <w:abstractNum w:abstractNumId="19" w15:restartNumberingAfterBreak="0">
    <w:nsid w:val="6361457B"/>
    <w:multiLevelType w:val="multilevel"/>
    <w:tmpl w:val="BD5ABF62"/>
    <w:numStyleLink w:val="ListBullets"/>
  </w:abstractNum>
  <w:abstractNum w:abstractNumId="20" w15:restartNumberingAfterBreak="0">
    <w:nsid w:val="72D65D1F"/>
    <w:multiLevelType w:val="multilevel"/>
    <w:tmpl w:val="BD5ABF62"/>
    <w:numStyleLink w:val="ListBullets"/>
  </w:abstractNum>
  <w:abstractNum w:abstractNumId="21" w15:restartNumberingAfterBreak="0">
    <w:nsid w:val="7FF52338"/>
    <w:multiLevelType w:val="multilevel"/>
    <w:tmpl w:val="E550C464"/>
    <w:numStyleLink w:val="ListNumbers"/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8"/>
  </w:num>
  <w:num w:numId="14">
    <w:abstractNumId w:val="15"/>
  </w:num>
  <w:num w:numId="15">
    <w:abstractNumId w:val="13"/>
  </w:num>
  <w:num w:numId="16">
    <w:abstractNumId w:val="10"/>
  </w:num>
  <w:num w:numId="17">
    <w:abstractNumId w:val="21"/>
  </w:num>
  <w:num w:numId="18">
    <w:abstractNumId w:val="19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</w:num>
  <w:num w:numId="22">
    <w:abstractNumId w:val="14"/>
  </w:num>
  <w:num w:numId="23">
    <w:abstractNumId w:val="17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LAwMzIwt7SwNDcwMzNV0lEKTi0uzszPAykwqQUAakzVDCwAAAA="/>
  </w:docVars>
  <w:rsids>
    <w:rsidRoot w:val="00227859"/>
    <w:rsid w:val="000108B5"/>
    <w:rsid w:val="0001400C"/>
    <w:rsid w:val="00026088"/>
    <w:rsid w:val="0003437D"/>
    <w:rsid w:val="00042E3C"/>
    <w:rsid w:val="00043D7E"/>
    <w:rsid w:val="0005216D"/>
    <w:rsid w:val="00054299"/>
    <w:rsid w:val="000546DA"/>
    <w:rsid w:val="0005662C"/>
    <w:rsid w:val="00057A10"/>
    <w:rsid w:val="00057B65"/>
    <w:rsid w:val="00063FFE"/>
    <w:rsid w:val="00096C72"/>
    <w:rsid w:val="00097A06"/>
    <w:rsid w:val="000B265F"/>
    <w:rsid w:val="000B3832"/>
    <w:rsid w:val="000B5A19"/>
    <w:rsid w:val="000C29A3"/>
    <w:rsid w:val="000C63B4"/>
    <w:rsid w:val="000D2226"/>
    <w:rsid w:val="000E0B12"/>
    <w:rsid w:val="000E4066"/>
    <w:rsid w:val="000F0205"/>
    <w:rsid w:val="000F34F5"/>
    <w:rsid w:val="000F433A"/>
    <w:rsid w:val="00132A9A"/>
    <w:rsid w:val="0014469E"/>
    <w:rsid w:val="00155558"/>
    <w:rsid w:val="00156B60"/>
    <w:rsid w:val="00164EDA"/>
    <w:rsid w:val="00180460"/>
    <w:rsid w:val="00185D43"/>
    <w:rsid w:val="00191B1E"/>
    <w:rsid w:val="001A1046"/>
    <w:rsid w:val="001B0B16"/>
    <w:rsid w:val="001B2D2C"/>
    <w:rsid w:val="001B6835"/>
    <w:rsid w:val="001B6BE0"/>
    <w:rsid w:val="001D4CEA"/>
    <w:rsid w:val="001D667E"/>
    <w:rsid w:val="00206C82"/>
    <w:rsid w:val="002273AD"/>
    <w:rsid w:val="00227859"/>
    <w:rsid w:val="00231AF3"/>
    <w:rsid w:val="002322E8"/>
    <w:rsid w:val="00232703"/>
    <w:rsid w:val="002513AD"/>
    <w:rsid w:val="0026359D"/>
    <w:rsid w:val="00290D25"/>
    <w:rsid w:val="00291404"/>
    <w:rsid w:val="002B01D4"/>
    <w:rsid w:val="002B4359"/>
    <w:rsid w:val="002C7991"/>
    <w:rsid w:val="002D15AB"/>
    <w:rsid w:val="002D78C4"/>
    <w:rsid w:val="002F0BD1"/>
    <w:rsid w:val="00305DC1"/>
    <w:rsid w:val="00314FF4"/>
    <w:rsid w:val="00321AF0"/>
    <w:rsid w:val="00350DF6"/>
    <w:rsid w:val="003631E3"/>
    <w:rsid w:val="00365E6B"/>
    <w:rsid w:val="00375F47"/>
    <w:rsid w:val="00381F84"/>
    <w:rsid w:val="00386595"/>
    <w:rsid w:val="00391A32"/>
    <w:rsid w:val="00393BC8"/>
    <w:rsid w:val="00395998"/>
    <w:rsid w:val="00397860"/>
    <w:rsid w:val="003B19BD"/>
    <w:rsid w:val="003C1545"/>
    <w:rsid w:val="003C2379"/>
    <w:rsid w:val="003D0BA0"/>
    <w:rsid w:val="003D0BE5"/>
    <w:rsid w:val="003D7CCC"/>
    <w:rsid w:val="003F0E1A"/>
    <w:rsid w:val="00400355"/>
    <w:rsid w:val="00400852"/>
    <w:rsid w:val="00402E32"/>
    <w:rsid w:val="00411E66"/>
    <w:rsid w:val="00411FA9"/>
    <w:rsid w:val="00411FE6"/>
    <w:rsid w:val="0041733A"/>
    <w:rsid w:val="004213FF"/>
    <w:rsid w:val="00422A2E"/>
    <w:rsid w:val="00430FC1"/>
    <w:rsid w:val="004322E0"/>
    <w:rsid w:val="00435EEC"/>
    <w:rsid w:val="00455B13"/>
    <w:rsid w:val="00457CBE"/>
    <w:rsid w:val="00476133"/>
    <w:rsid w:val="00477E55"/>
    <w:rsid w:val="00491FFF"/>
    <w:rsid w:val="0049736D"/>
    <w:rsid w:val="004D7F61"/>
    <w:rsid w:val="004E1AC2"/>
    <w:rsid w:val="004E3368"/>
    <w:rsid w:val="004E34D8"/>
    <w:rsid w:val="004F0024"/>
    <w:rsid w:val="004F1191"/>
    <w:rsid w:val="004F1EB3"/>
    <w:rsid w:val="004F20CA"/>
    <w:rsid w:val="00500E00"/>
    <w:rsid w:val="005101F2"/>
    <w:rsid w:val="005175A4"/>
    <w:rsid w:val="0052005C"/>
    <w:rsid w:val="00523F26"/>
    <w:rsid w:val="00524B0F"/>
    <w:rsid w:val="00527D42"/>
    <w:rsid w:val="00536CAA"/>
    <w:rsid w:val="00541704"/>
    <w:rsid w:val="00550E19"/>
    <w:rsid w:val="005533D9"/>
    <w:rsid w:val="00557C58"/>
    <w:rsid w:val="00560B98"/>
    <w:rsid w:val="005743CC"/>
    <w:rsid w:val="0057679D"/>
    <w:rsid w:val="005A29D1"/>
    <w:rsid w:val="005B5EE1"/>
    <w:rsid w:val="005B60B9"/>
    <w:rsid w:val="005C23C7"/>
    <w:rsid w:val="005D4B1D"/>
    <w:rsid w:val="005D6920"/>
    <w:rsid w:val="005E09ED"/>
    <w:rsid w:val="005E1DA9"/>
    <w:rsid w:val="005E4688"/>
    <w:rsid w:val="005F1EDB"/>
    <w:rsid w:val="005F677A"/>
    <w:rsid w:val="0060154E"/>
    <w:rsid w:val="00604D82"/>
    <w:rsid w:val="00612676"/>
    <w:rsid w:val="006324A1"/>
    <w:rsid w:val="00663EFD"/>
    <w:rsid w:val="006645C4"/>
    <w:rsid w:val="0068488F"/>
    <w:rsid w:val="006B4741"/>
    <w:rsid w:val="006C68D9"/>
    <w:rsid w:val="006D0544"/>
    <w:rsid w:val="006D4854"/>
    <w:rsid w:val="006E15E7"/>
    <w:rsid w:val="006F343F"/>
    <w:rsid w:val="006F58D5"/>
    <w:rsid w:val="00705B41"/>
    <w:rsid w:val="00715030"/>
    <w:rsid w:val="00720F03"/>
    <w:rsid w:val="00732FCC"/>
    <w:rsid w:val="00753644"/>
    <w:rsid w:val="00754C73"/>
    <w:rsid w:val="00757C22"/>
    <w:rsid w:val="00762790"/>
    <w:rsid w:val="0077215D"/>
    <w:rsid w:val="00774263"/>
    <w:rsid w:val="00781BA0"/>
    <w:rsid w:val="00796452"/>
    <w:rsid w:val="007A21D5"/>
    <w:rsid w:val="007D2DC1"/>
    <w:rsid w:val="007E7BDE"/>
    <w:rsid w:val="007F4928"/>
    <w:rsid w:val="00804013"/>
    <w:rsid w:val="00807777"/>
    <w:rsid w:val="00816AF3"/>
    <w:rsid w:val="008244C6"/>
    <w:rsid w:val="008319A6"/>
    <w:rsid w:val="00846C35"/>
    <w:rsid w:val="00851E0A"/>
    <w:rsid w:val="00860249"/>
    <w:rsid w:val="00871CE8"/>
    <w:rsid w:val="0087359D"/>
    <w:rsid w:val="00874CE6"/>
    <w:rsid w:val="0087744B"/>
    <w:rsid w:val="00883617"/>
    <w:rsid w:val="00887C25"/>
    <w:rsid w:val="008A01F1"/>
    <w:rsid w:val="008A06B4"/>
    <w:rsid w:val="008A1235"/>
    <w:rsid w:val="008A2AF0"/>
    <w:rsid w:val="008A329C"/>
    <w:rsid w:val="008B08CE"/>
    <w:rsid w:val="008B2511"/>
    <w:rsid w:val="008B458C"/>
    <w:rsid w:val="008C1CB8"/>
    <w:rsid w:val="008C1CDE"/>
    <w:rsid w:val="008C54DA"/>
    <w:rsid w:val="008D1AD4"/>
    <w:rsid w:val="008D38C8"/>
    <w:rsid w:val="008D400E"/>
    <w:rsid w:val="008D4178"/>
    <w:rsid w:val="008E0EAA"/>
    <w:rsid w:val="008E28AE"/>
    <w:rsid w:val="008E4E3A"/>
    <w:rsid w:val="009018EE"/>
    <w:rsid w:val="00915B16"/>
    <w:rsid w:val="00921838"/>
    <w:rsid w:val="009304E6"/>
    <w:rsid w:val="00931F1E"/>
    <w:rsid w:val="00947C4F"/>
    <w:rsid w:val="009502F6"/>
    <w:rsid w:val="00960E7E"/>
    <w:rsid w:val="009841F6"/>
    <w:rsid w:val="009A150A"/>
    <w:rsid w:val="009A68DA"/>
    <w:rsid w:val="009B1163"/>
    <w:rsid w:val="009D66CE"/>
    <w:rsid w:val="009F08F7"/>
    <w:rsid w:val="009F5F15"/>
    <w:rsid w:val="00A05F0F"/>
    <w:rsid w:val="00A0752C"/>
    <w:rsid w:val="00A309C1"/>
    <w:rsid w:val="00A3371B"/>
    <w:rsid w:val="00A42DD4"/>
    <w:rsid w:val="00A56EC9"/>
    <w:rsid w:val="00A71C33"/>
    <w:rsid w:val="00A87FB7"/>
    <w:rsid w:val="00AC5506"/>
    <w:rsid w:val="00AC7D29"/>
    <w:rsid w:val="00AE2581"/>
    <w:rsid w:val="00AE39D2"/>
    <w:rsid w:val="00AF0BD6"/>
    <w:rsid w:val="00B00C5A"/>
    <w:rsid w:val="00B00F03"/>
    <w:rsid w:val="00B031A2"/>
    <w:rsid w:val="00B059BB"/>
    <w:rsid w:val="00B15DD5"/>
    <w:rsid w:val="00B23294"/>
    <w:rsid w:val="00B24C9A"/>
    <w:rsid w:val="00B25C79"/>
    <w:rsid w:val="00B3185D"/>
    <w:rsid w:val="00B35E12"/>
    <w:rsid w:val="00B46241"/>
    <w:rsid w:val="00B638D1"/>
    <w:rsid w:val="00B64BA6"/>
    <w:rsid w:val="00B7095A"/>
    <w:rsid w:val="00B748BB"/>
    <w:rsid w:val="00B76AB7"/>
    <w:rsid w:val="00B96A1F"/>
    <w:rsid w:val="00BA112B"/>
    <w:rsid w:val="00BB6FAC"/>
    <w:rsid w:val="00BC0ADB"/>
    <w:rsid w:val="00BC3F9A"/>
    <w:rsid w:val="00BD2378"/>
    <w:rsid w:val="00BD7E90"/>
    <w:rsid w:val="00BE14E8"/>
    <w:rsid w:val="00C0143E"/>
    <w:rsid w:val="00C03480"/>
    <w:rsid w:val="00C12AB2"/>
    <w:rsid w:val="00C21B9C"/>
    <w:rsid w:val="00C23E89"/>
    <w:rsid w:val="00C30BA4"/>
    <w:rsid w:val="00C3721C"/>
    <w:rsid w:val="00C51D65"/>
    <w:rsid w:val="00C5291E"/>
    <w:rsid w:val="00C63D6A"/>
    <w:rsid w:val="00C70C57"/>
    <w:rsid w:val="00C8605F"/>
    <w:rsid w:val="00CA1D5A"/>
    <w:rsid w:val="00CB3CC3"/>
    <w:rsid w:val="00CC0814"/>
    <w:rsid w:val="00CC08B5"/>
    <w:rsid w:val="00CD0CA0"/>
    <w:rsid w:val="00CD3FE3"/>
    <w:rsid w:val="00CD61C5"/>
    <w:rsid w:val="00CE1E74"/>
    <w:rsid w:val="00CF3A7A"/>
    <w:rsid w:val="00D048F1"/>
    <w:rsid w:val="00D10E63"/>
    <w:rsid w:val="00D31422"/>
    <w:rsid w:val="00D4117D"/>
    <w:rsid w:val="00D61850"/>
    <w:rsid w:val="00D61DC4"/>
    <w:rsid w:val="00D660DA"/>
    <w:rsid w:val="00D76136"/>
    <w:rsid w:val="00D90C65"/>
    <w:rsid w:val="00DA2711"/>
    <w:rsid w:val="00DA7906"/>
    <w:rsid w:val="00DC3F25"/>
    <w:rsid w:val="00DD3C0E"/>
    <w:rsid w:val="00DD5A63"/>
    <w:rsid w:val="00DE0CBA"/>
    <w:rsid w:val="00DE4640"/>
    <w:rsid w:val="00DE745C"/>
    <w:rsid w:val="00DF36BD"/>
    <w:rsid w:val="00DF45C7"/>
    <w:rsid w:val="00DF7863"/>
    <w:rsid w:val="00E01577"/>
    <w:rsid w:val="00E122B5"/>
    <w:rsid w:val="00E16D9D"/>
    <w:rsid w:val="00E16DD5"/>
    <w:rsid w:val="00E22110"/>
    <w:rsid w:val="00E32054"/>
    <w:rsid w:val="00E37005"/>
    <w:rsid w:val="00E3720F"/>
    <w:rsid w:val="00E41541"/>
    <w:rsid w:val="00E5521B"/>
    <w:rsid w:val="00E60872"/>
    <w:rsid w:val="00E76FC4"/>
    <w:rsid w:val="00E806E9"/>
    <w:rsid w:val="00E86A5C"/>
    <w:rsid w:val="00E876CE"/>
    <w:rsid w:val="00E91192"/>
    <w:rsid w:val="00E91E7D"/>
    <w:rsid w:val="00E964E0"/>
    <w:rsid w:val="00E96E82"/>
    <w:rsid w:val="00EA5770"/>
    <w:rsid w:val="00EA6063"/>
    <w:rsid w:val="00EC461D"/>
    <w:rsid w:val="00EC7F7D"/>
    <w:rsid w:val="00ED1D72"/>
    <w:rsid w:val="00ED7C58"/>
    <w:rsid w:val="00EE3C59"/>
    <w:rsid w:val="00EF1C76"/>
    <w:rsid w:val="00F01259"/>
    <w:rsid w:val="00F055FD"/>
    <w:rsid w:val="00F05BB5"/>
    <w:rsid w:val="00F077E2"/>
    <w:rsid w:val="00F11EF8"/>
    <w:rsid w:val="00F16D2C"/>
    <w:rsid w:val="00F221CB"/>
    <w:rsid w:val="00F36A5D"/>
    <w:rsid w:val="00F36AB5"/>
    <w:rsid w:val="00F57604"/>
    <w:rsid w:val="00F7120A"/>
    <w:rsid w:val="00F72BD9"/>
    <w:rsid w:val="00F72E5B"/>
    <w:rsid w:val="00F835A2"/>
    <w:rsid w:val="00F8432C"/>
    <w:rsid w:val="00F85533"/>
    <w:rsid w:val="00FA08E0"/>
    <w:rsid w:val="00FB05CA"/>
    <w:rsid w:val="00FB4A8F"/>
    <w:rsid w:val="00FF6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1363CF"/>
  <w15:chartTrackingRefBased/>
  <w15:docId w15:val="{8038302E-B806-4E46-BCBC-2B9606E46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 w:qFormat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 w:unhideWhenUsed="1" w:qFormat="1"/>
    <w:lsdException w:name="List Number" w:semiHidden="1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nhideWhenUsed="1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 w:qFormat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 w:unhideWhenUsed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0460"/>
    <w:pPr>
      <w:spacing w:after="0" w:line="240" w:lineRule="auto"/>
    </w:pPr>
    <w:rPr>
      <w:rFonts w:ascii="Calibri" w:hAnsi="Calibri" w:cs="Calibri"/>
      <w:lang w:val="en-CA"/>
    </w:rPr>
  </w:style>
  <w:style w:type="paragraph" w:styleId="Heading1">
    <w:name w:val="heading 1"/>
    <w:basedOn w:val="BaseHeading"/>
    <w:next w:val="BodyText"/>
    <w:link w:val="Heading1Char"/>
    <w:uiPriority w:val="9"/>
    <w:qFormat/>
    <w:rsid w:val="00E5521B"/>
    <w:pPr>
      <w:spacing w:after="120"/>
      <w:outlineLvl w:val="0"/>
    </w:pPr>
    <w:rPr>
      <w:rFonts w:cstheme="majorBidi"/>
      <w:sz w:val="40"/>
      <w:szCs w:val="32"/>
    </w:rPr>
  </w:style>
  <w:style w:type="paragraph" w:styleId="Heading2">
    <w:name w:val="heading 2"/>
    <w:basedOn w:val="BaseHeading"/>
    <w:next w:val="BodyText"/>
    <w:link w:val="Heading2Char"/>
    <w:uiPriority w:val="9"/>
    <w:qFormat/>
    <w:rsid w:val="00E5521B"/>
    <w:pPr>
      <w:spacing w:after="120"/>
      <w:outlineLvl w:val="1"/>
    </w:pPr>
    <w:rPr>
      <w:rFonts w:ascii="Aktiv Grotesk Thin" w:hAnsi="Aktiv Grotesk Thin" w:cstheme="majorBidi"/>
      <w:sz w:val="36"/>
      <w:szCs w:val="26"/>
    </w:rPr>
  </w:style>
  <w:style w:type="paragraph" w:styleId="Heading3">
    <w:name w:val="heading 3"/>
    <w:basedOn w:val="BaseHeading"/>
    <w:next w:val="BodyText"/>
    <w:link w:val="Heading3Char"/>
    <w:uiPriority w:val="9"/>
    <w:qFormat/>
    <w:rsid w:val="00B25C79"/>
    <w:pPr>
      <w:outlineLvl w:val="2"/>
    </w:pPr>
    <w:rPr>
      <w:rFonts w:cstheme="majorBidi"/>
      <w:sz w:val="30"/>
      <w:szCs w:val="24"/>
    </w:rPr>
  </w:style>
  <w:style w:type="paragraph" w:styleId="Heading4">
    <w:name w:val="heading 4"/>
    <w:basedOn w:val="BaseHeading"/>
    <w:next w:val="BodyText"/>
    <w:link w:val="Heading4Char"/>
    <w:uiPriority w:val="9"/>
    <w:qFormat/>
    <w:rsid w:val="00291404"/>
    <w:pPr>
      <w:outlineLvl w:val="3"/>
    </w:pPr>
    <w:rPr>
      <w:rFonts w:cstheme="majorBidi"/>
      <w:b/>
      <w:iCs/>
      <w:sz w:val="24"/>
    </w:rPr>
  </w:style>
  <w:style w:type="paragraph" w:styleId="Heading5">
    <w:name w:val="heading 5"/>
    <w:basedOn w:val="Heading4"/>
    <w:next w:val="BodyText"/>
    <w:link w:val="Heading5Char"/>
    <w:uiPriority w:val="9"/>
    <w:qFormat/>
    <w:rsid w:val="007D2DC1"/>
    <w:pPr>
      <w:outlineLvl w:val="4"/>
    </w:pPr>
    <w:rPr>
      <w:color w:val="000000" w:themeColor="text1"/>
    </w:rPr>
  </w:style>
  <w:style w:type="paragraph" w:styleId="Heading6">
    <w:name w:val="heading 6"/>
    <w:basedOn w:val="BaseHeading"/>
    <w:next w:val="BodyText"/>
    <w:link w:val="Heading6Char"/>
    <w:uiPriority w:val="9"/>
    <w:qFormat/>
    <w:rsid w:val="001B0B16"/>
    <w:pPr>
      <w:pBdr>
        <w:top w:val="single" w:sz="2" w:space="6" w:color="1E32FA" w:themeColor="accent1"/>
        <w:between w:val="single" w:sz="2" w:space="6" w:color="1E32FA" w:themeColor="accent1"/>
      </w:pBdr>
      <w:spacing w:before="120" w:after="120"/>
      <w:contextualSpacing/>
      <w:outlineLvl w:val="5"/>
    </w:pPr>
    <w:rPr>
      <w:rFonts w:cstheme="majorBidi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BaseHeading"/>
    <w:next w:val="Subtitle"/>
    <w:link w:val="TitleChar"/>
    <w:uiPriority w:val="24"/>
    <w:qFormat/>
    <w:rsid w:val="00DA7906"/>
    <w:pPr>
      <w:contextualSpacing/>
    </w:pPr>
    <w:rPr>
      <w:rFonts w:cstheme="majorBidi"/>
    </w:rPr>
  </w:style>
  <w:style w:type="character" w:customStyle="1" w:styleId="TitleChar">
    <w:name w:val="Title Char"/>
    <w:basedOn w:val="DefaultParagraphFont"/>
    <w:link w:val="Title"/>
    <w:uiPriority w:val="24"/>
    <w:rsid w:val="0005662C"/>
    <w:rPr>
      <w:rFonts w:asciiTheme="majorHAnsi" w:eastAsiaTheme="majorEastAsia" w:hAnsiTheme="majorHAnsi" w:cstheme="majorBidi"/>
      <w:color w:val="1E32FA" w:themeColor="accent1"/>
      <w:sz w:val="60"/>
      <w:szCs w:val="56"/>
    </w:rPr>
  </w:style>
  <w:style w:type="paragraph" w:styleId="Subtitle">
    <w:name w:val="Subtitle"/>
    <w:basedOn w:val="BaseHeading"/>
    <w:next w:val="BodyText"/>
    <w:link w:val="SubtitleChar"/>
    <w:uiPriority w:val="25"/>
    <w:qFormat/>
    <w:rsid w:val="0014469E"/>
    <w:pPr>
      <w:numPr>
        <w:ilvl w:val="1"/>
      </w:numPr>
      <w:spacing w:after="180"/>
    </w:pPr>
    <w:rPr>
      <w:rFonts w:ascii="Aktiv Grotesk Thin" w:eastAsiaTheme="minorEastAsia" w:hAnsi="Aktiv Grotesk Thin"/>
    </w:rPr>
  </w:style>
  <w:style w:type="character" w:customStyle="1" w:styleId="SubtitleChar">
    <w:name w:val="Subtitle Char"/>
    <w:basedOn w:val="DefaultParagraphFont"/>
    <w:link w:val="Subtitle"/>
    <w:uiPriority w:val="25"/>
    <w:rsid w:val="0014469E"/>
    <w:rPr>
      <w:rFonts w:ascii="Aktiv Grotesk Thin" w:eastAsiaTheme="minorEastAsia" w:hAnsi="Aktiv Grotesk Thin" w:cstheme="majorHAnsi"/>
      <w:color w:val="1E32FA" w:themeColor="accent1"/>
      <w:sz w:val="6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5521B"/>
    <w:rPr>
      <w:rFonts w:asciiTheme="majorHAnsi" w:eastAsiaTheme="majorEastAsia" w:hAnsiTheme="majorHAnsi" w:cstheme="majorBidi"/>
      <w:color w:val="1E32FA" w:themeColor="accent1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5521B"/>
    <w:rPr>
      <w:rFonts w:ascii="Aktiv Grotesk Thin" w:eastAsiaTheme="majorEastAsia" w:hAnsi="Aktiv Grotesk Thin" w:cstheme="majorBidi"/>
      <w:color w:val="1E32FA" w:themeColor="accent1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A150A"/>
    <w:rPr>
      <w:rFonts w:asciiTheme="majorHAnsi" w:eastAsiaTheme="majorEastAsia" w:hAnsiTheme="majorHAnsi" w:cstheme="majorBidi"/>
      <w:color w:val="1E32FA" w:themeColor="accent1"/>
      <w:sz w:val="3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91404"/>
    <w:rPr>
      <w:rFonts w:asciiTheme="majorHAnsi" w:eastAsiaTheme="majorEastAsia" w:hAnsiTheme="majorHAnsi" w:cstheme="majorBidi"/>
      <w:b/>
      <w:iCs/>
      <w:color w:val="1E32FA" w:themeColor="accent1"/>
      <w:sz w:val="24"/>
      <w:szCs w:val="56"/>
    </w:rPr>
  </w:style>
  <w:style w:type="paragraph" w:styleId="Header">
    <w:name w:val="header"/>
    <w:basedOn w:val="BaseText"/>
    <w:link w:val="HeaderChar"/>
    <w:uiPriority w:val="99"/>
    <w:rsid w:val="00ED7C58"/>
    <w:pPr>
      <w:jc w:val="right"/>
    </w:pPr>
    <w:rPr>
      <w:color w:val="000000" w:themeColor="text1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05216D"/>
    <w:rPr>
      <w:rFonts w:eastAsiaTheme="majorEastAsia" w:cstheme="majorBidi"/>
      <w:color w:val="000000" w:themeColor="text1"/>
      <w:szCs w:val="56"/>
    </w:rPr>
  </w:style>
  <w:style w:type="paragraph" w:styleId="Footer">
    <w:name w:val="footer"/>
    <w:basedOn w:val="BaseText"/>
    <w:link w:val="FooterChar"/>
    <w:uiPriority w:val="99"/>
    <w:rsid w:val="00C70C57"/>
    <w:pPr>
      <w:tabs>
        <w:tab w:val="left" w:pos="284"/>
      </w:tabs>
    </w:pPr>
    <w:rPr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C70C57"/>
    <w:rPr>
      <w:rFonts w:eastAsiaTheme="majorEastAsia" w:cstheme="majorBidi"/>
      <w:sz w:val="14"/>
      <w:szCs w:val="56"/>
    </w:rPr>
  </w:style>
  <w:style w:type="paragraph" w:styleId="BodyText">
    <w:name w:val="Body Text"/>
    <w:basedOn w:val="BaseText"/>
    <w:link w:val="BodyTextChar"/>
    <w:uiPriority w:val="14"/>
    <w:qFormat/>
    <w:rsid w:val="00663EFD"/>
    <w:pPr>
      <w:spacing w:after="240" w:line="252" w:lineRule="auto"/>
    </w:pPr>
  </w:style>
  <w:style w:type="character" w:customStyle="1" w:styleId="BodyTextChar">
    <w:name w:val="Body Text Char"/>
    <w:basedOn w:val="DefaultParagraphFont"/>
    <w:link w:val="BodyText"/>
    <w:uiPriority w:val="14"/>
    <w:rsid w:val="00663EFD"/>
    <w:rPr>
      <w:rFonts w:eastAsiaTheme="majorEastAsia" w:cstheme="majorBidi"/>
      <w:sz w:val="20"/>
      <w:szCs w:val="56"/>
    </w:rPr>
  </w:style>
  <w:style w:type="paragraph" w:customStyle="1" w:styleId="BaseStyle">
    <w:name w:val="___Base Style"/>
    <w:semiHidden/>
    <w:rsid w:val="00156B60"/>
    <w:pPr>
      <w:spacing w:after="0" w:line="276" w:lineRule="auto"/>
    </w:pPr>
    <w:rPr>
      <w:rFonts w:asciiTheme="majorHAnsi" w:eastAsiaTheme="majorEastAsia" w:hAnsiTheme="majorHAnsi" w:cstheme="majorBidi"/>
      <w:color w:val="1E32FA" w:themeColor="accent1"/>
      <w:sz w:val="60"/>
      <w:szCs w:val="56"/>
    </w:rPr>
  </w:style>
  <w:style w:type="paragraph" w:customStyle="1" w:styleId="BaseText">
    <w:name w:val="__Base Text"/>
    <w:semiHidden/>
    <w:rsid w:val="009A150A"/>
    <w:pPr>
      <w:spacing w:after="0" w:line="240" w:lineRule="auto"/>
    </w:pPr>
    <w:rPr>
      <w:rFonts w:eastAsiaTheme="majorEastAsia" w:cstheme="majorBidi"/>
      <w:sz w:val="20"/>
      <w:szCs w:val="56"/>
    </w:rPr>
  </w:style>
  <w:style w:type="paragraph" w:customStyle="1" w:styleId="BaseHeading">
    <w:name w:val="__Base Heading"/>
    <w:next w:val="BodyText"/>
    <w:semiHidden/>
    <w:rsid w:val="00E5521B"/>
    <w:pPr>
      <w:keepNext/>
      <w:keepLines/>
      <w:suppressAutoHyphens/>
      <w:spacing w:after="60" w:line="235" w:lineRule="auto"/>
    </w:pPr>
    <w:rPr>
      <w:rFonts w:asciiTheme="majorHAnsi" w:eastAsiaTheme="majorEastAsia" w:hAnsiTheme="majorHAnsi" w:cstheme="majorHAnsi"/>
      <w:color w:val="1E32FA" w:themeColor="accent1"/>
      <w:sz w:val="60"/>
      <w:szCs w:val="56"/>
    </w:rPr>
  </w:style>
  <w:style w:type="paragraph" w:styleId="ListBullet">
    <w:name w:val="List Bullet"/>
    <w:basedOn w:val="BodyText"/>
    <w:uiPriority w:val="14"/>
    <w:qFormat/>
    <w:rsid w:val="00E5521B"/>
    <w:pPr>
      <w:numPr>
        <w:numId w:val="18"/>
      </w:numPr>
      <w:contextualSpacing/>
    </w:pPr>
  </w:style>
  <w:style w:type="paragraph" w:customStyle="1" w:styleId="TableText">
    <w:name w:val="Table Text"/>
    <w:basedOn w:val="BaseText"/>
    <w:uiPriority w:val="14"/>
    <w:qFormat/>
    <w:rsid w:val="00E01577"/>
    <w:rPr>
      <w:rFonts w:asciiTheme="majorHAnsi" w:hAnsiTheme="majorHAnsi"/>
    </w:rPr>
  </w:style>
  <w:style w:type="paragraph" w:customStyle="1" w:styleId="Quotation">
    <w:name w:val="Quotation"/>
    <w:basedOn w:val="BaseHeading"/>
    <w:uiPriority w:val="29"/>
    <w:qFormat/>
    <w:rsid w:val="00AF0BD6"/>
    <w:pPr>
      <w:spacing w:after="360"/>
    </w:pPr>
    <w:rPr>
      <w:b/>
      <w:color w:val="000000" w:themeColor="text1"/>
      <w:sz w:val="56"/>
      <w:szCs w:val="60"/>
    </w:rPr>
  </w:style>
  <w:style w:type="paragraph" w:customStyle="1" w:styleId="HeaderFirstPage">
    <w:name w:val="Header First Page"/>
    <w:basedOn w:val="Header"/>
    <w:uiPriority w:val="99"/>
    <w:rsid w:val="00A42DD4"/>
    <w:pPr>
      <w:spacing w:line="400" w:lineRule="exact"/>
    </w:pPr>
    <w:rPr>
      <w:sz w:val="36"/>
    </w:rPr>
  </w:style>
  <w:style w:type="numbering" w:customStyle="1" w:styleId="ListBullets">
    <w:name w:val="__List Bullets"/>
    <w:uiPriority w:val="99"/>
    <w:rsid w:val="00B059BB"/>
    <w:pPr>
      <w:numPr>
        <w:numId w:val="11"/>
      </w:numPr>
    </w:pPr>
  </w:style>
  <w:style w:type="paragraph" w:styleId="ListNumber">
    <w:name w:val="List Number"/>
    <w:basedOn w:val="BodyText"/>
    <w:uiPriority w:val="14"/>
    <w:qFormat/>
    <w:rsid w:val="00E5521B"/>
    <w:pPr>
      <w:numPr>
        <w:numId w:val="17"/>
      </w:numPr>
      <w:contextualSpacing/>
    </w:pPr>
  </w:style>
  <w:style w:type="numbering" w:customStyle="1" w:styleId="ListNumbers">
    <w:name w:val="__List Numbers"/>
    <w:uiPriority w:val="99"/>
    <w:rsid w:val="00E5521B"/>
    <w:pPr>
      <w:numPr>
        <w:numId w:val="16"/>
      </w:numPr>
    </w:pPr>
  </w:style>
  <w:style w:type="character" w:styleId="Hyperlink">
    <w:name w:val="Hyperlink"/>
    <w:basedOn w:val="DefaultParagraphFont"/>
    <w:uiPriority w:val="99"/>
    <w:qFormat/>
    <w:rsid w:val="00A42DD4"/>
    <w:rPr>
      <w:color w:val="1E32FA" w:themeColor="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9F08F7"/>
    <w:rPr>
      <w:rFonts w:asciiTheme="majorHAnsi" w:eastAsiaTheme="majorEastAsia" w:hAnsiTheme="majorHAnsi" w:cstheme="majorBidi"/>
      <w:b/>
      <w:iCs/>
      <w:color w:val="000000" w:themeColor="text1"/>
      <w:sz w:val="24"/>
      <w:szCs w:val="56"/>
    </w:rPr>
  </w:style>
  <w:style w:type="character" w:customStyle="1" w:styleId="Heading6Char">
    <w:name w:val="Heading 6 Char"/>
    <w:basedOn w:val="DefaultParagraphFont"/>
    <w:link w:val="Heading6"/>
    <w:uiPriority w:val="9"/>
    <w:rsid w:val="009F08F7"/>
    <w:rPr>
      <w:rFonts w:asciiTheme="majorHAnsi" w:eastAsiaTheme="majorEastAsia" w:hAnsiTheme="majorHAnsi" w:cstheme="majorBidi"/>
      <w:color w:val="1E32FA" w:themeColor="accent1"/>
      <w:sz w:val="20"/>
      <w:szCs w:val="56"/>
    </w:rPr>
  </w:style>
  <w:style w:type="paragraph" w:styleId="Caption">
    <w:name w:val="caption"/>
    <w:basedOn w:val="BaseText"/>
    <w:next w:val="BodyText"/>
    <w:uiPriority w:val="35"/>
    <w:qFormat/>
    <w:rsid w:val="00705B41"/>
    <w:pPr>
      <w:spacing w:after="240" w:line="250" w:lineRule="auto"/>
    </w:pPr>
    <w:rPr>
      <w:iCs/>
      <w:color w:val="000000" w:themeColor="text1"/>
      <w:sz w:val="16"/>
      <w:szCs w:val="18"/>
    </w:rPr>
  </w:style>
  <w:style w:type="table" w:customStyle="1" w:styleId="IATABlue">
    <w:name w:val="_IATA Blue"/>
    <w:basedOn w:val="TableNormal"/>
    <w:uiPriority w:val="99"/>
    <w:rsid w:val="00E01577"/>
    <w:pPr>
      <w:spacing w:before="4" w:after="4" w:line="240" w:lineRule="auto"/>
    </w:pPr>
    <w:rPr>
      <w:sz w:val="20"/>
      <w:szCs w:val="20"/>
    </w:rPr>
    <w:tblPr>
      <w:tblBorders>
        <w:bottom w:val="single" w:sz="2" w:space="0" w:color="E6E6E6" w:themeColor="background2"/>
        <w:insideH w:val="single" w:sz="2" w:space="0" w:color="E6E6E6" w:themeColor="background2"/>
      </w:tblBorders>
      <w:tblCellMar>
        <w:top w:w="28" w:type="dxa"/>
        <w:left w:w="115" w:type="dxa"/>
        <w:bottom w:w="28" w:type="dxa"/>
        <w:right w:w="115" w:type="dxa"/>
      </w:tblCellMar>
    </w:tblPr>
    <w:tblStylePr w:type="firstRow">
      <w:rPr>
        <w:rFonts w:asciiTheme="minorHAnsi" w:hAnsiTheme="minorHAnsi"/>
        <w:b/>
        <w:color w:val="1E32FA" w:themeColor="accent1"/>
        <w:sz w:val="18"/>
      </w:rPr>
      <w:tblPr/>
      <w:tcPr>
        <w:tcBorders>
          <w:top w:val="single" w:sz="2" w:space="0" w:color="1E32FA" w:themeColor="accent1"/>
          <w:bottom w:val="single" w:sz="2" w:space="0" w:color="1E32FA" w:themeColor="accent1"/>
        </w:tcBorders>
      </w:tcPr>
    </w:tblStylePr>
    <w:tblStylePr w:type="lastRow">
      <w:rPr>
        <w:rFonts w:asciiTheme="majorHAnsi" w:hAnsiTheme="majorHAnsi"/>
        <w:b/>
        <w:color w:val="FFFFFF" w:themeColor="background1"/>
        <w:sz w:val="18"/>
      </w:rPr>
      <w:tblPr/>
      <w:tcPr>
        <w:shd w:val="clear" w:color="auto" w:fill="1E32FA" w:themeFill="accent1"/>
      </w:tcPr>
    </w:tblStylePr>
    <w:tblStylePr w:type="firstCol">
      <w:rPr>
        <w:b/>
        <w:color w:val="1E32FA" w:themeColor="accent1"/>
      </w:rPr>
    </w:tblStylePr>
  </w:style>
  <w:style w:type="paragraph" w:styleId="FootnoteText">
    <w:name w:val="footnote text"/>
    <w:basedOn w:val="BaseText"/>
    <w:link w:val="FootnoteTextChar"/>
    <w:uiPriority w:val="99"/>
    <w:qFormat/>
    <w:rsid w:val="001D4CEA"/>
    <w:rPr>
      <w:b/>
      <w:color w:val="000000" w:themeColor="text1"/>
      <w:sz w:val="14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D4CEA"/>
    <w:rPr>
      <w:rFonts w:eastAsiaTheme="majorEastAsia" w:cstheme="majorBidi"/>
      <w:b/>
      <w:color w:val="000000" w:themeColor="text1"/>
      <w:sz w:val="14"/>
      <w:szCs w:val="20"/>
    </w:rPr>
  </w:style>
  <w:style w:type="paragraph" w:styleId="TOCHeading">
    <w:name w:val="TOC Heading"/>
    <w:basedOn w:val="Heading1"/>
    <w:next w:val="Normal"/>
    <w:uiPriority w:val="39"/>
    <w:unhideWhenUsed/>
    <w:rsid w:val="0057679D"/>
    <w:pPr>
      <w:suppressAutoHyphens w:val="0"/>
      <w:outlineLvl w:val="9"/>
    </w:pPr>
    <w:rPr>
      <w:b/>
      <w:sz w:val="32"/>
      <w:lang w:val="en-US"/>
    </w:rPr>
  </w:style>
  <w:style w:type="paragraph" w:styleId="TOC1">
    <w:name w:val="toc 1"/>
    <w:basedOn w:val="BodyText"/>
    <w:autoRedefine/>
    <w:uiPriority w:val="39"/>
    <w:rsid w:val="000F0205"/>
    <w:pPr>
      <w:tabs>
        <w:tab w:val="right" w:leader="dot" w:pos="10093"/>
      </w:tabs>
      <w:spacing w:after="60"/>
    </w:pPr>
    <w:rPr>
      <w:b/>
    </w:rPr>
  </w:style>
  <w:style w:type="paragraph" w:styleId="TOC2">
    <w:name w:val="toc 2"/>
    <w:basedOn w:val="BodyText"/>
    <w:autoRedefine/>
    <w:uiPriority w:val="39"/>
    <w:rsid w:val="000F0205"/>
    <w:pPr>
      <w:tabs>
        <w:tab w:val="right" w:leader="dot" w:pos="10093"/>
      </w:tabs>
      <w:spacing w:after="60"/>
      <w:ind w:left="289"/>
    </w:pPr>
  </w:style>
  <w:style w:type="paragraph" w:styleId="TOC3">
    <w:name w:val="toc 3"/>
    <w:basedOn w:val="BodyText"/>
    <w:next w:val="Normal"/>
    <w:autoRedefine/>
    <w:uiPriority w:val="39"/>
    <w:rsid w:val="000F0205"/>
    <w:pPr>
      <w:tabs>
        <w:tab w:val="right" w:leader="dot" w:pos="10093"/>
      </w:tabs>
      <w:spacing w:after="60"/>
      <w:ind w:left="578"/>
    </w:pPr>
  </w:style>
  <w:style w:type="table" w:styleId="TableGrid">
    <w:name w:val="Table Grid"/>
    <w:basedOn w:val="TableNormal"/>
    <w:uiPriority w:val="39"/>
    <w:rsid w:val="00B76AB7"/>
    <w:pPr>
      <w:spacing w:after="0" w:line="240" w:lineRule="auto"/>
    </w:pPr>
    <w:rPr>
      <w:sz w:val="20"/>
    </w:rPr>
    <w:tblPr>
      <w:tblCellMar>
        <w:left w:w="0" w:type="dxa"/>
        <w:right w:w="0" w:type="dxa"/>
      </w:tblCellMar>
    </w:tblPr>
  </w:style>
  <w:style w:type="paragraph" w:styleId="NoSpacing">
    <w:name w:val="No Spacing"/>
    <w:basedOn w:val="BaseText"/>
    <w:uiPriority w:val="15"/>
    <w:rsid w:val="00663EFD"/>
    <w:pPr>
      <w:spacing w:line="252" w:lineRule="auto"/>
    </w:pPr>
  </w:style>
  <w:style w:type="table" w:customStyle="1" w:styleId="IATADocumentSummary">
    <w:name w:val="_IATA Document Summary"/>
    <w:basedOn w:val="TableNormal"/>
    <w:uiPriority w:val="99"/>
    <w:rsid w:val="00DF7863"/>
    <w:pPr>
      <w:spacing w:after="0" w:line="240" w:lineRule="auto"/>
    </w:pPr>
    <w:rPr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28" w:type="dxa"/>
        <w:left w:w="113" w:type="dxa"/>
        <w:bottom w:w="28" w:type="dxa"/>
        <w:right w:w="113" w:type="dxa"/>
      </w:tblCellMar>
    </w:tblPr>
    <w:tblStylePr w:type="firstRow">
      <w:rPr>
        <w:b/>
        <w:caps/>
        <w:smallCaps w:val="0"/>
        <w:color w:val="F04632" w:themeColor="accent3"/>
      </w:rPr>
    </w:tblStylePr>
    <w:tblStylePr w:type="lastRow">
      <w:rPr>
        <w:b/>
        <w:caps/>
        <w:smallCaps w:val="0"/>
      </w:rPr>
    </w:tblStylePr>
  </w:style>
  <w:style w:type="table" w:customStyle="1" w:styleId="IATAAttendee">
    <w:name w:val="_IATA Attendee"/>
    <w:basedOn w:val="TableNormal"/>
    <w:uiPriority w:val="99"/>
    <w:rsid w:val="00DF7863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113" w:type="dxa"/>
        <w:bottom w:w="28" w:type="dxa"/>
        <w:right w:w="113" w:type="dxa"/>
      </w:tblCellMar>
    </w:tblPr>
    <w:tblStylePr w:type="firstRow">
      <w:tblPr/>
      <w:tcPr>
        <w:tcBorders>
          <w:top w:val="single" w:sz="4" w:space="0" w:color="1E32FA" w:themeColor="accent1"/>
          <w:bottom w:val="single" w:sz="4" w:space="0" w:color="1E32FA" w:themeColor="accent1"/>
        </w:tcBorders>
        <w:shd w:val="clear" w:color="auto" w:fill="E6E6E6" w:themeFill="background2"/>
      </w:tcPr>
    </w:tblStylePr>
    <w:tblStylePr w:type="lastRow">
      <w:rPr>
        <w:b/>
      </w:rPr>
    </w:tblStylePr>
  </w:style>
  <w:style w:type="paragraph" w:customStyle="1" w:styleId="TableTextSmall">
    <w:name w:val="Table Text Small"/>
    <w:basedOn w:val="BaseText"/>
    <w:uiPriority w:val="14"/>
    <w:qFormat/>
    <w:rsid w:val="00E01577"/>
    <w:rPr>
      <w:sz w:val="18"/>
    </w:rPr>
  </w:style>
  <w:style w:type="character" w:styleId="PlaceholderText">
    <w:name w:val="Placeholder Text"/>
    <w:basedOn w:val="DefaultParagraphFont"/>
    <w:uiPriority w:val="99"/>
    <w:semiHidden/>
    <w:rsid w:val="00164EDA"/>
    <w:rPr>
      <w:color w:val="808080"/>
    </w:rPr>
  </w:style>
  <w:style w:type="paragraph" w:customStyle="1" w:styleId="BOLDCAPSCENTERED">
    <w:name w:val="BOLD CAPS CENTERED"/>
    <w:basedOn w:val="Normal"/>
    <w:rsid w:val="00180460"/>
    <w:pPr>
      <w:spacing w:line="240" w:lineRule="exact"/>
      <w:jc w:val="center"/>
    </w:pPr>
    <w:rPr>
      <w:rFonts w:ascii="Arial" w:hAnsi="Arial" w:cs="Arial"/>
      <w:b/>
      <w:bCs/>
      <w:caps/>
      <w:sz w:val="18"/>
      <w:szCs w:val="18"/>
      <w:lang w:eastAsia="zh-CN"/>
    </w:rPr>
  </w:style>
  <w:style w:type="character" w:styleId="CommentReference">
    <w:name w:val="annotation reference"/>
    <w:basedOn w:val="DefaultParagraphFont"/>
    <w:uiPriority w:val="99"/>
    <w:semiHidden/>
    <w:rsid w:val="003D7C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D7C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7CCC"/>
    <w:rPr>
      <w:rFonts w:ascii="Calibri" w:hAnsi="Calibri" w:cs="Calibri"/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D7C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7CCC"/>
    <w:rPr>
      <w:rFonts w:ascii="Calibri" w:hAnsi="Calibri" w:cs="Calibri"/>
      <w:b/>
      <w:bCs/>
      <w:sz w:val="20"/>
      <w:szCs w:val="20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08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872"/>
    <w:rPr>
      <w:rFonts w:ascii="Segoe UI" w:hAnsi="Segoe UI" w:cs="Segoe UI"/>
      <w:sz w:val="18"/>
      <w:szCs w:val="18"/>
      <w:lang w:val="en-CA"/>
    </w:rPr>
  </w:style>
  <w:style w:type="paragraph" w:styleId="Revision">
    <w:name w:val="Revision"/>
    <w:hidden/>
    <w:uiPriority w:val="99"/>
    <w:semiHidden/>
    <w:rsid w:val="009841F6"/>
    <w:pPr>
      <w:spacing w:after="0" w:line="240" w:lineRule="auto"/>
    </w:pPr>
    <w:rPr>
      <w:rFonts w:ascii="Calibri" w:hAnsi="Calibri" w:cs="Calibri"/>
      <w:lang w:val="en-CA"/>
    </w:rPr>
  </w:style>
  <w:style w:type="paragraph" w:styleId="ListParagraph">
    <w:name w:val="List Paragraph"/>
    <w:basedOn w:val="Normal"/>
    <w:uiPriority w:val="34"/>
    <w:semiHidden/>
    <w:qFormat/>
    <w:rsid w:val="00EC7F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5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IATA">
      <a:dk1>
        <a:srgbClr val="000000"/>
      </a:dk1>
      <a:lt1>
        <a:srgbClr val="FFFFFF"/>
      </a:lt1>
      <a:dk2>
        <a:srgbClr val="000000"/>
      </a:dk2>
      <a:lt2>
        <a:srgbClr val="E6E6E6"/>
      </a:lt2>
      <a:accent1>
        <a:srgbClr val="1E32FA"/>
      </a:accent1>
      <a:accent2>
        <a:srgbClr val="FAC832"/>
      </a:accent2>
      <a:accent3>
        <a:srgbClr val="F04632"/>
      </a:accent3>
      <a:accent4>
        <a:srgbClr val="289632"/>
      </a:accent4>
      <a:accent5>
        <a:srgbClr val="F046C8"/>
      </a:accent5>
      <a:accent6>
        <a:srgbClr val="5A14A0"/>
      </a:accent6>
      <a:hlink>
        <a:srgbClr val="1E32FA"/>
      </a:hlink>
      <a:folHlink>
        <a:srgbClr val="5A14A0"/>
      </a:folHlink>
    </a:clrScheme>
    <a:fontScheme name="IATA">
      <a:majorFont>
        <a:latin typeface="Aktiv Grotesk"/>
        <a:ea typeface=""/>
        <a:cs typeface=""/>
      </a:majorFont>
      <a:minorFont>
        <a:latin typeface="Aktiv Grotes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2767EA-F283-46A2-A4B8-CFBB6C174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319</Words>
  <Characters>1824</Characters>
  <Application>Microsoft Office Word</Application>
  <DocSecurity>0</DocSecurity>
  <Lines>15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Tomonori Tsuruzono</dc:creator>
  <cp:keywords/>
  <dc:description/>
  <cp:lastModifiedBy>Tomonori Tsuruzono</cp:lastModifiedBy>
  <cp:revision>15</cp:revision>
  <dcterms:created xsi:type="dcterms:W3CDTF">2022-06-29T16:14:00Z</dcterms:created>
  <dcterms:modified xsi:type="dcterms:W3CDTF">2022-06-30T12:12:00Z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3139dd5-5437-48fa-b8d8-ae2039d7b302_Enabled">
    <vt:lpwstr>true</vt:lpwstr>
  </property>
  <property fmtid="{D5CDD505-2E9C-101B-9397-08002B2CF9AE}" pid="3" name="MSIP_Label_73139dd5-5437-48fa-b8d8-ae2039d7b302_SetDate">
    <vt:lpwstr>2022-06-29T07:34:42Z</vt:lpwstr>
  </property>
  <property fmtid="{D5CDD505-2E9C-101B-9397-08002B2CF9AE}" pid="4" name="MSIP_Label_73139dd5-5437-48fa-b8d8-ae2039d7b302_Method">
    <vt:lpwstr>Standard</vt:lpwstr>
  </property>
  <property fmtid="{D5CDD505-2E9C-101B-9397-08002B2CF9AE}" pid="5" name="MSIP_Label_73139dd5-5437-48fa-b8d8-ae2039d7b302_Name">
    <vt:lpwstr>Intern</vt:lpwstr>
  </property>
  <property fmtid="{D5CDD505-2E9C-101B-9397-08002B2CF9AE}" pid="6" name="MSIP_Label_73139dd5-5437-48fa-b8d8-ae2039d7b302_SiteId">
    <vt:lpwstr>682f2e1b-bcff-4594-9bad-1dd130bf0ab2</vt:lpwstr>
  </property>
  <property fmtid="{D5CDD505-2E9C-101B-9397-08002B2CF9AE}" pid="7" name="MSIP_Label_73139dd5-5437-48fa-b8d8-ae2039d7b302_ActionId">
    <vt:lpwstr>8f9383f2-92a7-4245-9292-2ce0ae6b58a8</vt:lpwstr>
  </property>
  <property fmtid="{D5CDD505-2E9C-101B-9397-08002B2CF9AE}" pid="8" name="MSIP_Label_73139dd5-5437-48fa-b8d8-ae2039d7b302_ContentBits">
    <vt:lpwstr>0</vt:lpwstr>
  </property>
</Properties>
</file>