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rsidRPr="00237DB0" w14:paraId="43779955" w14:textId="77777777">
        <w:trPr>
          <w:trHeight w:val="1790"/>
        </w:trPr>
        <w:tc>
          <w:tcPr>
            <w:tcW w:w="1915" w:type="dxa"/>
            <w:shd w:val="clear" w:color="auto" w:fill="FFFFFF"/>
          </w:tcPr>
          <w:p w14:paraId="14A995AF" w14:textId="77777777" w:rsidR="00DA52CB" w:rsidRDefault="00305BCF" w:rsidP="00E52A56">
            <w:bookmarkStart w:id="0" w:name="logo"/>
            <w:r>
              <w:rPr>
                <w:noProof/>
                <w:lang w:val="en-US"/>
              </w:rPr>
              <w:drawing>
                <wp:inline distT="0" distB="0" distL="0" distR="0" wp14:anchorId="05880782" wp14:editId="4E94C192">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48E02175" w14:textId="77777777" w:rsidR="00E52A56" w:rsidRDefault="00795803" w:rsidP="00DA52CB">
            <w:pPr>
              <w:rPr>
                <w:rFonts w:ascii="Arial" w:hAnsi="Arial" w:cs="Arial"/>
                <w:szCs w:val="22"/>
              </w:rPr>
            </w:pPr>
            <w:r>
              <w:rPr>
                <w:rFonts w:ascii="Arial" w:hAnsi="Arial" w:cs="Arial"/>
                <w:noProof/>
                <w:szCs w:val="22"/>
                <w:lang w:val="en-US"/>
              </w:rPr>
              <mc:AlternateContent>
                <mc:Choice Requires="wps">
                  <w:drawing>
                    <wp:anchor distT="0" distB="0" distL="114300" distR="114300" simplePos="0" relativeHeight="251658240" behindDoc="0" locked="0" layoutInCell="1" allowOverlap="1" wp14:anchorId="3BD2D27C" wp14:editId="21E1ADB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8A5B54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597058E6" w14:textId="77777777" w:rsidR="00DA52CB" w:rsidRDefault="00E52A56" w:rsidP="00DA52CB">
            <w:pPr>
              <w:rPr>
                <w:rFonts w:ascii="Arial" w:hAnsi="Arial" w:cs="Arial"/>
                <w:szCs w:val="22"/>
              </w:rPr>
            </w:pPr>
            <w:r>
              <w:rPr>
                <w:rFonts w:ascii="Arial" w:hAnsi="Arial" w:cs="Arial"/>
                <w:szCs w:val="22"/>
              </w:rPr>
              <w:t>International Civil Aviation Organization</w:t>
            </w:r>
          </w:p>
          <w:p w14:paraId="460F4FC3" w14:textId="77777777" w:rsidR="00E52A56" w:rsidRDefault="00E52A56" w:rsidP="00DA52CB">
            <w:pPr>
              <w:rPr>
                <w:rFonts w:ascii="Arial" w:hAnsi="Arial" w:cs="Arial"/>
                <w:szCs w:val="22"/>
              </w:rPr>
            </w:pPr>
          </w:p>
          <w:p w14:paraId="5473CE5F" w14:textId="77777777"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6"/>
            </w:tblGrid>
            <w:tr w:rsidR="00DA52CB" w:rsidRPr="00237DB0" w14:paraId="03DE5F99" w14:textId="77777777" w:rsidTr="00F26CCC">
              <w:trPr>
                <w:jc w:val="right"/>
              </w:trPr>
              <w:tc>
                <w:tcPr>
                  <w:tcW w:w="0" w:type="auto"/>
                </w:tcPr>
                <w:p w14:paraId="79C0E6E1" w14:textId="68614DD7" w:rsidR="00DA52CB" w:rsidRPr="00237DB0" w:rsidRDefault="00CC0C2E" w:rsidP="00CC0C2E">
                  <w:pPr>
                    <w:framePr w:hSpace="180" w:wrap="around" w:vAnchor="text" w:hAnchor="text" w:y="1"/>
                    <w:suppressOverlap/>
                    <w:jc w:val="left"/>
                    <w:rPr>
                      <w:szCs w:val="22"/>
                    </w:rPr>
                  </w:pPr>
                  <w:bookmarkStart w:id="1" w:name="document_no"/>
                  <w:r>
                    <w:rPr>
                      <w:szCs w:val="22"/>
                    </w:rPr>
                    <w:t>NSP</w:t>
                  </w:r>
                  <w:r w:rsidR="00E52A56" w:rsidRPr="00237DB0">
                    <w:rPr>
                      <w:szCs w:val="22"/>
                    </w:rPr>
                    <w:t>/</w:t>
                  </w:r>
                  <w:r w:rsidR="00CD542A">
                    <w:rPr>
                      <w:szCs w:val="22"/>
                    </w:rPr>
                    <w:t>6</w:t>
                  </w:r>
                  <w:r w:rsidR="00E52A56" w:rsidRPr="00237DB0">
                    <w:rPr>
                      <w:szCs w:val="22"/>
                    </w:rPr>
                    <w:t>-WP/</w:t>
                  </w:r>
                  <w:bookmarkEnd w:id="1"/>
                  <w:r w:rsidR="00CD542A">
                    <w:rPr>
                      <w:szCs w:val="22"/>
                    </w:rPr>
                    <w:t>09</w:t>
                  </w:r>
                </w:p>
                <w:p w14:paraId="786633CE" w14:textId="77777777" w:rsidR="00A2022F" w:rsidRPr="00237DB0" w:rsidRDefault="00A538C3" w:rsidP="00CC0C2E">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date"/>
                  <w:bookmarkEnd w:id="2"/>
                  <w:bookmarkEnd w:id="3"/>
                  <w:bookmarkEnd w:id="4"/>
                  <w:bookmarkEnd w:id="5"/>
                  <w:bookmarkEnd w:id="6"/>
                  <w:r w:rsidRPr="00936BF4">
                    <w:rPr>
                      <w:sz w:val="18"/>
                      <w:szCs w:val="18"/>
                    </w:rPr>
                    <w:t>Nov</w:t>
                  </w:r>
                  <w:r w:rsidR="00E52A56" w:rsidRPr="00237DB0">
                    <w:rPr>
                      <w:sz w:val="18"/>
                      <w:szCs w:val="18"/>
                    </w:rPr>
                    <w:t>/</w:t>
                  </w:r>
                  <w:r w:rsidR="001E0F14" w:rsidRPr="00237DB0">
                    <w:rPr>
                      <w:sz w:val="18"/>
                      <w:szCs w:val="18"/>
                    </w:rPr>
                    <w:t>20</w:t>
                  </w:r>
                  <w:bookmarkEnd w:id="7"/>
                  <w:r w:rsidR="007F11E4">
                    <w:rPr>
                      <w:sz w:val="18"/>
                      <w:szCs w:val="18"/>
                    </w:rPr>
                    <w:t>20</w:t>
                  </w:r>
                  <w:r w:rsidR="002172F3" w:rsidRPr="00237DB0">
                    <w:rPr>
                      <w:b/>
                      <w:sz w:val="18"/>
                      <w:szCs w:val="18"/>
                    </w:rPr>
                    <w:t xml:space="preserve"> </w:t>
                  </w:r>
                  <w:bookmarkStart w:id="8" w:name="info_paper"/>
                  <w:bookmarkEnd w:id="8"/>
                </w:p>
              </w:tc>
            </w:tr>
            <w:tr w:rsidR="00DA52CB" w:rsidRPr="00237DB0" w14:paraId="589959FF" w14:textId="77777777" w:rsidTr="00F26CCC">
              <w:trPr>
                <w:jc w:val="right"/>
              </w:trPr>
              <w:tc>
                <w:tcPr>
                  <w:tcW w:w="0" w:type="auto"/>
                </w:tcPr>
                <w:p w14:paraId="05062A81" w14:textId="77777777" w:rsidR="00DA52CB" w:rsidRPr="00237DB0" w:rsidRDefault="00DA52CB" w:rsidP="00CC0C2E">
                  <w:pPr>
                    <w:framePr w:hSpace="180" w:wrap="around" w:vAnchor="text" w:hAnchor="text" w:y="1"/>
                    <w:suppressOverlap/>
                    <w:jc w:val="left"/>
                    <w:rPr>
                      <w:szCs w:val="22"/>
                    </w:rPr>
                  </w:pPr>
                  <w:bookmarkStart w:id="9" w:name="language"/>
                  <w:bookmarkEnd w:id="9"/>
                </w:p>
              </w:tc>
            </w:tr>
          </w:tbl>
          <w:p w14:paraId="0E1E8240" w14:textId="77777777" w:rsidR="00DA52CB" w:rsidRPr="00237DB0" w:rsidRDefault="00DA52CB" w:rsidP="00DA52CB">
            <w:pPr>
              <w:tabs>
                <w:tab w:val="left" w:pos="720"/>
                <w:tab w:val="left" w:pos="1440"/>
                <w:tab w:val="left" w:pos="1800"/>
                <w:tab w:val="left" w:pos="2160"/>
                <w:tab w:val="left" w:pos="2520"/>
                <w:tab w:val="left" w:pos="2880"/>
              </w:tabs>
              <w:ind w:left="4320"/>
              <w:rPr>
                <w:b/>
                <w:sz w:val="18"/>
                <w:szCs w:val="18"/>
              </w:rPr>
            </w:pPr>
          </w:p>
        </w:tc>
      </w:tr>
    </w:tbl>
    <w:p w14:paraId="5E4221AD" w14:textId="77777777" w:rsidR="00DA52CB" w:rsidRPr="004441B8" w:rsidRDefault="0041070A" w:rsidP="00B3411E">
      <w:pPr>
        <w:jc w:val="center"/>
        <w:rPr>
          <w:b/>
          <w:sz w:val="26"/>
          <w:szCs w:val="26"/>
        </w:rPr>
      </w:pPr>
      <w:bookmarkStart w:id="10" w:name="text_above"/>
      <w:bookmarkEnd w:id="10"/>
      <w:r>
        <w:rPr>
          <w:b/>
          <w:sz w:val="26"/>
          <w:szCs w:val="26"/>
        </w:rPr>
        <w:t>NAVIGATION SYSTEMS PANEL (NSP)</w:t>
      </w:r>
    </w:p>
    <w:p w14:paraId="2A12D4D9" w14:textId="77777777" w:rsidR="00DA52CB" w:rsidRPr="0018581E" w:rsidRDefault="00DA52CB" w:rsidP="00DA52CB">
      <w:pPr>
        <w:jc w:val="center"/>
        <w:rPr>
          <w:b/>
          <w:szCs w:val="22"/>
        </w:rPr>
      </w:pPr>
    </w:p>
    <w:p w14:paraId="2F7C4AFF" w14:textId="77777777" w:rsidR="00E52A56" w:rsidRDefault="00D65188" w:rsidP="00FA5944">
      <w:pPr>
        <w:jc w:val="center"/>
        <w:rPr>
          <w:b/>
          <w:szCs w:val="22"/>
        </w:rPr>
      </w:pPr>
      <w:bookmarkStart w:id="11" w:name="text_below"/>
      <w:r>
        <w:rPr>
          <w:b/>
          <w:szCs w:val="22"/>
        </w:rPr>
        <w:t xml:space="preserve">JOINT WORKING GROUPS – </w:t>
      </w:r>
      <w:r w:rsidR="006C3011">
        <w:rPr>
          <w:b/>
          <w:szCs w:val="22"/>
        </w:rPr>
        <w:t>FIF</w:t>
      </w:r>
      <w:r w:rsidR="00FA5944">
        <w:rPr>
          <w:b/>
          <w:szCs w:val="22"/>
        </w:rPr>
        <w:t>TH</w:t>
      </w:r>
      <w:r>
        <w:rPr>
          <w:b/>
          <w:szCs w:val="22"/>
        </w:rPr>
        <w:t xml:space="preserve"> </w:t>
      </w:r>
      <w:r w:rsidR="00E52A56">
        <w:rPr>
          <w:b/>
          <w:szCs w:val="22"/>
        </w:rPr>
        <w:t>MEETING</w:t>
      </w:r>
    </w:p>
    <w:bookmarkEnd w:id="11"/>
    <w:p w14:paraId="4E55DB06" w14:textId="77777777" w:rsidR="00DA52CB" w:rsidRPr="00D17232" w:rsidRDefault="00DA52CB" w:rsidP="00DA52CB"/>
    <w:p w14:paraId="4EC04C78" w14:textId="77777777" w:rsidR="00DA52CB" w:rsidRPr="00A26F39" w:rsidRDefault="00E011E5" w:rsidP="006C3011">
      <w:pPr>
        <w:jc w:val="center"/>
        <w:rPr>
          <w:b/>
          <w:szCs w:val="22"/>
        </w:rPr>
      </w:pPr>
      <w:bookmarkStart w:id="12" w:name="city_from_to"/>
      <w:r w:rsidRPr="00C42CDE">
        <w:rPr>
          <w:b/>
          <w:szCs w:val="22"/>
        </w:rPr>
        <w:t>Virtual</w:t>
      </w:r>
      <w:r w:rsidR="00E52A56" w:rsidRPr="00C42CDE">
        <w:rPr>
          <w:b/>
          <w:szCs w:val="22"/>
        </w:rPr>
        <w:t xml:space="preserve">, </w:t>
      </w:r>
      <w:r w:rsidRPr="00C42CDE">
        <w:rPr>
          <w:b/>
          <w:szCs w:val="22"/>
        </w:rPr>
        <w:t xml:space="preserve">Nov </w:t>
      </w:r>
      <w:r w:rsidR="00590DF8" w:rsidRPr="00C42CDE">
        <w:rPr>
          <w:b/>
          <w:szCs w:val="22"/>
        </w:rPr>
        <w:t xml:space="preserve">2-13, </w:t>
      </w:r>
      <w:r w:rsidR="00E52A56" w:rsidRPr="00C42CDE">
        <w:rPr>
          <w:b/>
          <w:szCs w:val="22"/>
        </w:rPr>
        <w:t>20</w:t>
      </w:r>
      <w:bookmarkEnd w:id="12"/>
      <w:r w:rsidR="007F11E4" w:rsidRPr="00C42CDE">
        <w:rPr>
          <w:b/>
          <w:szCs w:val="22"/>
        </w:rPr>
        <w:t>20</w:t>
      </w:r>
      <w:r w:rsidR="00E52A56">
        <w:rPr>
          <w:b/>
          <w:szCs w:val="22"/>
        </w:rPr>
        <w:t xml:space="preserve"> </w:t>
      </w:r>
    </w:p>
    <w:p w14:paraId="424288E3" w14:textId="77777777" w:rsidR="00DA52CB" w:rsidRPr="005B0D1C" w:rsidRDefault="00DA52CB" w:rsidP="00DA52CB">
      <w:pPr>
        <w:jc w:val="center"/>
        <w:rPr>
          <w:b/>
          <w:szCs w:val="22"/>
        </w:rPr>
      </w:pPr>
      <w:bookmarkStart w:id="13" w:name="title_below_city_from_to"/>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9360"/>
      </w:tblGrid>
      <w:tr w:rsidR="00285534" w14:paraId="44E33A3C" w14:textId="77777777" w:rsidTr="00285534">
        <w:trPr>
          <w:trHeight w:val="516"/>
        </w:trPr>
        <w:tc>
          <w:tcPr>
            <w:tcW w:w="9361" w:type="dxa"/>
            <w:shd w:val="clear" w:color="auto" w:fill="auto"/>
            <w:noWrap/>
          </w:tcPr>
          <w:p w14:paraId="0D8A3885" w14:textId="77777777" w:rsidR="00285534" w:rsidRPr="00E52A56" w:rsidRDefault="00285534" w:rsidP="00285534">
            <w:pPr>
              <w:rPr>
                <w:b/>
                <w:szCs w:val="22"/>
              </w:rPr>
            </w:pPr>
            <w:bookmarkStart w:id="14" w:name="agenda_item"/>
            <w:bookmarkEnd w:id="14"/>
            <w:r w:rsidRPr="00E52A56">
              <w:rPr>
                <w:b/>
                <w:szCs w:val="22"/>
              </w:rPr>
              <w:t>Agenda Item</w:t>
            </w:r>
            <w:r>
              <w:rPr>
                <w:b/>
                <w:szCs w:val="22"/>
              </w:rPr>
              <w:t xml:space="preserve"> </w:t>
            </w:r>
            <w:r w:rsidR="007F11E4" w:rsidRPr="007F11E4">
              <w:rPr>
                <w:b/>
                <w:szCs w:val="22"/>
                <w:highlight w:val="yellow"/>
              </w:rPr>
              <w:t>XX</w:t>
            </w:r>
            <w:r w:rsidRPr="00866034">
              <w:rPr>
                <w:b/>
                <w:szCs w:val="22"/>
              </w:rPr>
              <w:t>:</w:t>
            </w:r>
            <w:r>
              <w:rPr>
                <w:b/>
                <w:szCs w:val="22"/>
              </w:rPr>
              <w:t xml:space="preserve"> </w:t>
            </w:r>
            <w:r w:rsidRPr="00866034">
              <w:rPr>
                <w:b/>
                <w:szCs w:val="22"/>
              </w:rPr>
              <w:t xml:space="preserve"> </w:t>
            </w:r>
          </w:p>
          <w:p w14:paraId="0AA707CF" w14:textId="77777777" w:rsidR="00285534" w:rsidRPr="00E52A56" w:rsidRDefault="00285534" w:rsidP="00763B83">
            <w:pPr>
              <w:rPr>
                <w:b/>
                <w:szCs w:val="22"/>
              </w:rPr>
            </w:pPr>
            <w:r>
              <w:rPr>
                <w:b/>
                <w:szCs w:val="22"/>
              </w:rPr>
              <w:t xml:space="preserve"> </w:t>
            </w:r>
          </w:p>
        </w:tc>
      </w:tr>
    </w:tbl>
    <w:p w14:paraId="5C3DE5D0" w14:textId="2CD6967F" w:rsidR="00414636" w:rsidRDefault="00CD542A" w:rsidP="007140C2">
      <w:pPr>
        <w:ind w:left="1080" w:right="1080"/>
        <w:jc w:val="center"/>
        <w:rPr>
          <w:szCs w:val="22"/>
        </w:rPr>
      </w:pPr>
      <w:bookmarkStart w:id="15" w:name="title"/>
      <w:bookmarkStart w:id="16" w:name="presented_by"/>
      <w:bookmarkEnd w:id="15"/>
      <w:r>
        <w:rPr>
          <w:szCs w:val="22"/>
        </w:rPr>
        <w:t>Validation Material for</w:t>
      </w:r>
      <w:r w:rsidR="0014159B">
        <w:rPr>
          <w:szCs w:val="22"/>
        </w:rPr>
        <w:t xml:space="preserve"> GAST D E</w:t>
      </w:r>
      <w:r w:rsidR="000B6479" w:rsidRPr="000B6479">
        <w:rPr>
          <w:szCs w:val="22"/>
          <w:vertAlign w:val="subscript"/>
        </w:rPr>
        <w:t>IG</w:t>
      </w:r>
      <w:r w:rsidR="0014159B">
        <w:rPr>
          <w:szCs w:val="22"/>
        </w:rPr>
        <w:t xml:space="preserve"> to exceed </w:t>
      </w:r>
      <w:r w:rsidR="00D668C9">
        <w:rPr>
          <w:szCs w:val="22"/>
        </w:rPr>
        <w:t>2.75m</w:t>
      </w:r>
    </w:p>
    <w:p w14:paraId="4DA64A7B" w14:textId="77777777" w:rsidR="00DA52CB" w:rsidRDefault="00E52A56" w:rsidP="00B3411E">
      <w:pPr>
        <w:ind w:left="1080" w:right="1080"/>
        <w:jc w:val="center"/>
        <w:rPr>
          <w:szCs w:val="22"/>
        </w:rPr>
      </w:pPr>
      <w:r>
        <w:rPr>
          <w:szCs w:val="22"/>
        </w:rPr>
        <w:t>Presented by</w:t>
      </w:r>
      <w:bookmarkEnd w:id="16"/>
      <w:r w:rsidR="001814F8">
        <w:rPr>
          <w:szCs w:val="22"/>
        </w:rPr>
        <w:t xml:space="preserve"> Tim Murphy</w:t>
      </w:r>
    </w:p>
    <w:p w14:paraId="7F843C6D" w14:textId="77777777" w:rsidR="003E183B" w:rsidRDefault="003E183B" w:rsidP="00B3411E">
      <w:pPr>
        <w:ind w:left="1080" w:right="1080"/>
        <w:jc w:val="center"/>
        <w:rPr>
          <w:szCs w:val="22"/>
        </w:rPr>
      </w:pPr>
    </w:p>
    <w:p w14:paraId="0F0F2972" w14:textId="77777777" w:rsidR="003E183B" w:rsidRPr="00862641" w:rsidRDefault="003E183B" w:rsidP="003E183B">
      <w:pPr>
        <w:ind w:left="1080" w:right="1080"/>
        <w:jc w:val="center"/>
        <w:rPr>
          <w:szCs w:val="22"/>
        </w:rPr>
      </w:pPr>
      <w:r w:rsidRPr="00862641">
        <w:rPr>
          <w:szCs w:val="22"/>
        </w:rPr>
        <w:t>Prepared by</w:t>
      </w:r>
    </w:p>
    <w:p w14:paraId="53B5BA07" w14:textId="77777777" w:rsidR="003E183B" w:rsidRDefault="003B1D96" w:rsidP="003E183B">
      <w:pPr>
        <w:ind w:left="1080" w:right="1080"/>
        <w:jc w:val="center"/>
        <w:rPr>
          <w:szCs w:val="22"/>
        </w:rPr>
      </w:pPr>
      <w:r>
        <w:rPr>
          <w:szCs w:val="22"/>
          <w:lang w:val="nb-NO"/>
        </w:rPr>
        <w:t>IGM ad-hoc</w:t>
      </w:r>
    </w:p>
    <w:p w14:paraId="7DAE808C" w14:textId="77777777" w:rsidR="003E183B" w:rsidRPr="007307A8" w:rsidRDefault="003E183B" w:rsidP="00B3411E">
      <w:pPr>
        <w:ind w:left="1080" w:right="1080"/>
        <w:jc w:val="center"/>
        <w:rPr>
          <w:szCs w:val="22"/>
        </w:rPr>
      </w:pPr>
    </w:p>
    <w:p w14:paraId="2A866B2E" w14:textId="77777777" w:rsidR="00DA52CB" w:rsidRPr="007307A8" w:rsidRDefault="00E52A56" w:rsidP="00DA52CB">
      <w:pPr>
        <w:jc w:val="center"/>
        <w:rPr>
          <w:szCs w:val="22"/>
        </w:rPr>
      </w:pPr>
      <w:bookmarkStart w:id="17" w:name="addendum_below_title"/>
      <w:bookmarkEnd w:id="17"/>
      <w:r>
        <w:rPr>
          <w:b/>
          <w:szCs w:val="22"/>
        </w:rPr>
        <w:t xml:space="preserve"> </w:t>
      </w:r>
    </w:p>
    <w:p w14:paraId="01CA81FB" w14:textId="77777777" w:rsidR="00DA52CB" w:rsidRDefault="00E52A56" w:rsidP="00DA52CB">
      <w:pPr>
        <w:jc w:val="center"/>
        <w:rPr>
          <w:b/>
          <w:szCs w:val="22"/>
        </w:rPr>
      </w:pPr>
      <w:bookmarkStart w:id="18" w:name="document_no_below_title"/>
      <w:bookmarkEnd w:id="18"/>
      <w:r>
        <w:rPr>
          <w:rFonts w:ascii="Arial" w:hAnsi="Arial" w:cs="Arial"/>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E52A56" w14:paraId="1C3621D2" w14:textId="77777777" w:rsidTr="00FE1C77">
        <w:trPr>
          <w:jc w:val="center"/>
        </w:trPr>
        <w:tc>
          <w:tcPr>
            <w:tcW w:w="7380" w:type="dxa"/>
            <w:tcBorders>
              <w:bottom w:val="nil"/>
            </w:tcBorders>
          </w:tcPr>
          <w:p w14:paraId="50E92B7C" w14:textId="77777777" w:rsidR="00E52A56" w:rsidRPr="00E52A56" w:rsidRDefault="00E52A56" w:rsidP="00DA52CB">
            <w:pPr>
              <w:jc w:val="center"/>
              <w:rPr>
                <w:b/>
                <w:szCs w:val="22"/>
              </w:rPr>
            </w:pPr>
            <w:bookmarkStart w:id="19" w:name="summary_box"/>
            <w:bookmarkEnd w:id="19"/>
            <w:r w:rsidRPr="00E52A56">
              <w:rPr>
                <w:b/>
                <w:szCs w:val="22"/>
              </w:rPr>
              <w:t>SUMMARY</w:t>
            </w:r>
          </w:p>
        </w:tc>
      </w:tr>
      <w:tr w:rsidR="00E52A56" w14:paraId="044EC803" w14:textId="77777777" w:rsidTr="00FE1C77">
        <w:trPr>
          <w:jc w:val="center"/>
        </w:trPr>
        <w:tc>
          <w:tcPr>
            <w:tcW w:w="7380" w:type="dxa"/>
            <w:tcBorders>
              <w:top w:val="nil"/>
            </w:tcBorders>
            <w:shd w:val="clear" w:color="auto" w:fill="auto"/>
          </w:tcPr>
          <w:p w14:paraId="63BC43BD" w14:textId="6221952B" w:rsidR="00414636" w:rsidRPr="0034640D" w:rsidRDefault="00D668C9" w:rsidP="00E52A56">
            <w:pPr>
              <w:jc w:val="left"/>
              <w:rPr>
                <w:color w:val="000000" w:themeColor="text1"/>
                <w:szCs w:val="22"/>
              </w:rPr>
            </w:pPr>
            <w:r w:rsidRPr="0034640D">
              <w:rPr>
                <w:color w:val="000000" w:themeColor="text1"/>
                <w:szCs w:val="22"/>
              </w:rPr>
              <w:t>ICAO Annex 10, Appendix B, section 3.6.7.3.4 pro</w:t>
            </w:r>
            <w:r w:rsidR="004A37C4" w:rsidRPr="0034640D">
              <w:rPr>
                <w:color w:val="000000" w:themeColor="text1"/>
                <w:szCs w:val="22"/>
              </w:rPr>
              <w:t xml:space="preserve">hibits the GBAS ground station from transmitting </w:t>
            </w:r>
            <w:r w:rsidRPr="0034640D">
              <w:rPr>
                <w:color w:val="000000" w:themeColor="text1"/>
                <w:szCs w:val="22"/>
              </w:rPr>
              <w:t>parameters representing the resi</w:t>
            </w:r>
            <w:r w:rsidR="004A37C4" w:rsidRPr="0034640D">
              <w:rPr>
                <w:color w:val="000000" w:themeColor="text1"/>
                <w:szCs w:val="22"/>
              </w:rPr>
              <w:t>dual ionospheric error that</w:t>
            </w:r>
            <w:r w:rsidRPr="0034640D">
              <w:rPr>
                <w:color w:val="000000" w:themeColor="text1"/>
                <w:szCs w:val="22"/>
              </w:rPr>
              <w:t xml:space="preserve"> will</w:t>
            </w:r>
            <w:r w:rsidR="004A37C4" w:rsidRPr="0034640D">
              <w:rPr>
                <w:color w:val="000000" w:themeColor="text1"/>
                <w:szCs w:val="22"/>
              </w:rPr>
              <w:t xml:space="preserve"> cause E</w:t>
            </w:r>
            <w:r w:rsidR="003F43FD" w:rsidRPr="00C42CDE">
              <w:rPr>
                <w:color w:val="000000" w:themeColor="text1"/>
                <w:szCs w:val="22"/>
                <w:vertAlign w:val="subscript"/>
              </w:rPr>
              <w:t>IG</w:t>
            </w:r>
            <w:r w:rsidR="004A37C4" w:rsidRPr="0034640D">
              <w:rPr>
                <w:color w:val="000000" w:themeColor="text1"/>
                <w:szCs w:val="22"/>
              </w:rPr>
              <w:t xml:space="preserve"> to</w:t>
            </w:r>
            <w:r w:rsidRPr="0034640D">
              <w:rPr>
                <w:color w:val="000000" w:themeColor="text1"/>
                <w:szCs w:val="22"/>
              </w:rPr>
              <w:t xml:space="preserve"> exceed 2.75m for any threshold supported by GAST D. WP19 of JWGs4 (Apr 19) explained why there would be significant benefit in allowing </w:t>
            </w:r>
            <w:r w:rsidR="00522FD8" w:rsidRPr="0034640D">
              <w:rPr>
                <w:color w:val="000000" w:themeColor="text1"/>
                <w:szCs w:val="22"/>
              </w:rPr>
              <w:t>E</w:t>
            </w:r>
            <w:r w:rsidR="003F43FD" w:rsidRPr="00C449D9">
              <w:rPr>
                <w:color w:val="000000" w:themeColor="text1"/>
                <w:szCs w:val="22"/>
                <w:vertAlign w:val="subscript"/>
              </w:rPr>
              <w:t>IG</w:t>
            </w:r>
            <w:r w:rsidR="00522FD8" w:rsidRPr="0034640D">
              <w:rPr>
                <w:color w:val="000000" w:themeColor="text1"/>
                <w:szCs w:val="22"/>
              </w:rPr>
              <w:t xml:space="preserve"> to exceed 2.75m for some individual runway ends that are located far away from the GBAS reference point. </w:t>
            </w:r>
          </w:p>
          <w:p w14:paraId="487F8A51" w14:textId="77777777" w:rsidR="00C722DB" w:rsidRPr="0034640D" w:rsidRDefault="00C722DB" w:rsidP="00E52A56">
            <w:pPr>
              <w:jc w:val="left"/>
              <w:rPr>
                <w:color w:val="000000" w:themeColor="text1"/>
                <w:szCs w:val="22"/>
              </w:rPr>
            </w:pPr>
          </w:p>
          <w:p w14:paraId="28883366" w14:textId="363456B4" w:rsidR="00CD542A" w:rsidRPr="0034640D" w:rsidRDefault="00872C78" w:rsidP="00CD542A">
            <w:pPr>
              <w:rPr>
                <w:color w:val="000000" w:themeColor="text1"/>
                <w:szCs w:val="22"/>
              </w:rPr>
            </w:pPr>
            <w:r w:rsidRPr="0034640D">
              <w:rPr>
                <w:color w:val="000000" w:themeColor="text1"/>
                <w:szCs w:val="22"/>
              </w:rPr>
              <w:t>In October 2019, JWGs5 WP42 was presented in order to justify and propose a change to ICAO Annex 10, to allow the GBAS GAST D residual ionospheric error, E</w:t>
            </w:r>
            <w:r w:rsidR="003F43FD" w:rsidRPr="00C449D9">
              <w:rPr>
                <w:color w:val="000000" w:themeColor="text1"/>
                <w:szCs w:val="22"/>
                <w:vertAlign w:val="subscript"/>
              </w:rPr>
              <w:t>IG</w:t>
            </w:r>
            <w:r w:rsidRPr="0034640D">
              <w:rPr>
                <w:color w:val="000000" w:themeColor="text1"/>
                <w:szCs w:val="22"/>
              </w:rPr>
              <w:t xml:space="preserve"> to exceed 2.75 m for individual thresholds at an airport. The paper suggested revised wording for Appendix B, section 3.6.7.3.4, and associated guidance material to support</w:t>
            </w:r>
            <w:r w:rsidR="0071543A">
              <w:rPr>
                <w:color w:val="000000" w:themeColor="text1"/>
                <w:szCs w:val="22"/>
              </w:rPr>
              <w:t xml:space="preserve"> GBAS availability simulations.  JWGs5 WP50 was also presented to close the action to confirm there is no impact to airworthiness criteria by allowing E</w:t>
            </w:r>
            <w:r w:rsidR="0071543A" w:rsidRPr="00936BF4">
              <w:rPr>
                <w:color w:val="000000" w:themeColor="text1"/>
                <w:szCs w:val="22"/>
                <w:vertAlign w:val="subscript"/>
              </w:rPr>
              <w:t>IG</w:t>
            </w:r>
            <w:r w:rsidR="0071543A">
              <w:rPr>
                <w:color w:val="000000" w:themeColor="text1"/>
                <w:szCs w:val="22"/>
              </w:rPr>
              <w:t xml:space="preserve"> greater than 2.75 meters.</w:t>
            </w:r>
            <w:r w:rsidR="00CD542A" w:rsidRPr="0034640D">
              <w:rPr>
                <w:color w:val="000000" w:themeColor="text1"/>
                <w:szCs w:val="22"/>
              </w:rPr>
              <w:t xml:space="preserve"> </w:t>
            </w:r>
            <w:r w:rsidR="00CD542A">
              <w:rPr>
                <w:color w:val="000000" w:themeColor="text1"/>
                <w:szCs w:val="22"/>
              </w:rPr>
              <w:t>WP08 for this meeting proposes revised wording for</w:t>
            </w:r>
            <w:r w:rsidR="00CD542A" w:rsidRPr="0034640D">
              <w:rPr>
                <w:color w:val="000000" w:themeColor="text1"/>
                <w:szCs w:val="22"/>
              </w:rPr>
              <w:t xml:space="preserve"> the SARPs</w:t>
            </w:r>
            <w:r w:rsidR="00CD542A">
              <w:rPr>
                <w:color w:val="000000" w:themeColor="text1"/>
                <w:szCs w:val="22"/>
              </w:rPr>
              <w:t xml:space="preserve"> as a maintenance change to allow E</w:t>
            </w:r>
            <w:r w:rsidR="00CD542A" w:rsidRPr="00FF427E">
              <w:rPr>
                <w:color w:val="000000" w:themeColor="text1"/>
                <w:szCs w:val="22"/>
                <w:vertAlign w:val="subscript"/>
              </w:rPr>
              <w:t>IG</w:t>
            </w:r>
            <w:r w:rsidR="00CD542A">
              <w:rPr>
                <w:color w:val="000000" w:themeColor="text1"/>
                <w:szCs w:val="22"/>
              </w:rPr>
              <w:t xml:space="preserve"> to exceed 2.75m only when operational requirements permit</w:t>
            </w:r>
            <w:r w:rsidR="00CD542A" w:rsidRPr="0034640D">
              <w:rPr>
                <w:color w:val="000000" w:themeColor="text1"/>
                <w:szCs w:val="22"/>
              </w:rPr>
              <w:t xml:space="preserve">. </w:t>
            </w:r>
          </w:p>
          <w:p w14:paraId="0C28AB19" w14:textId="77777777" w:rsidR="00CD542A" w:rsidRPr="0034640D" w:rsidRDefault="00CD542A" w:rsidP="00CD542A">
            <w:pPr>
              <w:rPr>
                <w:color w:val="000000" w:themeColor="text1"/>
                <w:szCs w:val="22"/>
              </w:rPr>
            </w:pPr>
          </w:p>
          <w:p w14:paraId="57D6E374" w14:textId="33CE5954" w:rsidR="0071543A" w:rsidRDefault="006F37DA" w:rsidP="00946E35">
            <w:pPr>
              <w:rPr>
                <w:color w:val="000000" w:themeColor="text1"/>
                <w:szCs w:val="22"/>
              </w:rPr>
            </w:pPr>
            <w:r w:rsidRPr="0034640D">
              <w:rPr>
                <w:color w:val="000000" w:themeColor="text1"/>
                <w:szCs w:val="22"/>
              </w:rPr>
              <w:t xml:space="preserve">Action 234 was </w:t>
            </w:r>
            <w:r w:rsidR="001F653D">
              <w:rPr>
                <w:color w:val="000000" w:themeColor="text1"/>
                <w:szCs w:val="22"/>
              </w:rPr>
              <w:t>taken on by the</w:t>
            </w:r>
            <w:r w:rsidRPr="0034640D">
              <w:rPr>
                <w:color w:val="000000" w:themeColor="text1"/>
                <w:szCs w:val="22"/>
              </w:rPr>
              <w:t xml:space="preserve"> IGM ad-hoc group to do sensitivity analyses looking at the relationship between ionospheric models, distance to runways, E</w:t>
            </w:r>
            <w:r w:rsidR="003F43FD" w:rsidRPr="00C449D9">
              <w:rPr>
                <w:color w:val="000000" w:themeColor="text1"/>
                <w:szCs w:val="22"/>
                <w:vertAlign w:val="subscript"/>
              </w:rPr>
              <w:t>IG</w:t>
            </w:r>
            <w:r w:rsidRPr="0034640D">
              <w:rPr>
                <w:color w:val="000000" w:themeColor="text1"/>
                <w:szCs w:val="22"/>
              </w:rPr>
              <w:t xml:space="preserve"> and availability</w:t>
            </w:r>
            <w:r w:rsidR="00F01544">
              <w:rPr>
                <w:color w:val="000000" w:themeColor="text1"/>
                <w:szCs w:val="22"/>
              </w:rPr>
              <w:t>.</w:t>
            </w:r>
            <w:r w:rsidR="0071543A">
              <w:rPr>
                <w:color w:val="000000" w:themeColor="text1"/>
                <w:szCs w:val="22"/>
              </w:rPr>
              <w:t xml:space="preserve">  </w:t>
            </w:r>
            <w:r w:rsidR="00CD542A">
              <w:rPr>
                <w:color w:val="000000" w:themeColor="text1"/>
                <w:szCs w:val="22"/>
              </w:rPr>
              <w:t>This paper summarizes the results of sensitivity analyses supporting Action 234 for validation of the changes proposed in WP08 for this meeting</w:t>
            </w:r>
            <w:r w:rsidRPr="0034640D">
              <w:rPr>
                <w:color w:val="000000" w:themeColor="text1"/>
                <w:szCs w:val="22"/>
              </w:rPr>
              <w:t xml:space="preserve">. </w:t>
            </w:r>
            <w:r w:rsidR="00567BAF">
              <w:rPr>
                <w:color w:val="000000" w:themeColor="text1"/>
                <w:szCs w:val="22"/>
              </w:rPr>
              <w:t xml:space="preserve"> A high sensitivity of the maximum E</w:t>
            </w:r>
            <w:r w:rsidR="00567BAF" w:rsidRPr="00936BF4">
              <w:rPr>
                <w:color w:val="000000" w:themeColor="text1"/>
                <w:szCs w:val="22"/>
                <w:vertAlign w:val="subscript"/>
              </w:rPr>
              <w:t>IG</w:t>
            </w:r>
            <w:r w:rsidR="00567BAF">
              <w:rPr>
                <w:color w:val="000000" w:themeColor="text1"/>
                <w:szCs w:val="22"/>
              </w:rPr>
              <w:t xml:space="preserve"> to threat models and airport size is shown, while a reasonable availability is demonstrated as feasible for many locations in the world for E</w:t>
            </w:r>
            <w:r w:rsidR="00567BAF" w:rsidRPr="00936BF4">
              <w:rPr>
                <w:color w:val="000000" w:themeColor="text1"/>
                <w:szCs w:val="22"/>
                <w:vertAlign w:val="subscript"/>
              </w:rPr>
              <w:t>IG</w:t>
            </w:r>
            <w:r w:rsidR="00567BAF">
              <w:rPr>
                <w:color w:val="000000" w:themeColor="text1"/>
                <w:szCs w:val="22"/>
              </w:rPr>
              <w:t xml:space="preserve"> greater than 2.75 meters.</w:t>
            </w:r>
          </w:p>
          <w:p w14:paraId="6FBD10A2" w14:textId="77777777" w:rsidR="0071543A" w:rsidRDefault="0071543A" w:rsidP="00946E35">
            <w:pPr>
              <w:rPr>
                <w:color w:val="000000" w:themeColor="text1"/>
                <w:szCs w:val="22"/>
              </w:rPr>
            </w:pPr>
          </w:p>
          <w:p w14:paraId="7119C2B0" w14:textId="2AAB97D8" w:rsidR="00E52A56" w:rsidRPr="00E52A56" w:rsidRDefault="0041070A" w:rsidP="00936BF4">
            <w:pPr>
              <w:rPr>
                <w:szCs w:val="22"/>
              </w:rPr>
            </w:pPr>
            <w:r w:rsidRPr="0034640D">
              <w:rPr>
                <w:color w:val="000000" w:themeColor="text1"/>
                <w:szCs w:val="22"/>
              </w:rPr>
              <w:lastRenderedPageBreak/>
              <w:t>Action by the NS</w:t>
            </w:r>
            <w:r w:rsidR="00E52A56" w:rsidRPr="0034640D">
              <w:rPr>
                <w:color w:val="000000" w:themeColor="text1"/>
                <w:szCs w:val="22"/>
              </w:rPr>
              <w:t xml:space="preserve">P </w:t>
            </w:r>
            <w:r w:rsidR="00EE0814">
              <w:rPr>
                <w:color w:val="000000" w:themeColor="text1"/>
                <w:szCs w:val="22"/>
              </w:rPr>
              <w:t xml:space="preserve">to consider this paper as validation material to support the proposed maintenance changes from WP08 from this meeting </w:t>
            </w:r>
            <w:r w:rsidR="00E52A56" w:rsidRPr="0034640D">
              <w:rPr>
                <w:color w:val="000000" w:themeColor="text1"/>
                <w:szCs w:val="22"/>
              </w:rPr>
              <w:t xml:space="preserve">is </w:t>
            </w:r>
            <w:r w:rsidR="00EE0814">
              <w:rPr>
                <w:color w:val="000000" w:themeColor="text1"/>
                <w:szCs w:val="22"/>
              </w:rPr>
              <w:t xml:space="preserve">requested </w:t>
            </w:r>
            <w:r w:rsidR="003A61A2" w:rsidRPr="0034640D">
              <w:rPr>
                <w:color w:val="000000" w:themeColor="text1"/>
                <w:szCs w:val="22"/>
              </w:rPr>
              <w:t>i</w:t>
            </w:r>
            <w:r w:rsidR="00E52A56" w:rsidRPr="0034640D">
              <w:rPr>
                <w:color w:val="000000" w:themeColor="text1"/>
                <w:szCs w:val="22"/>
              </w:rPr>
              <w:t xml:space="preserve">n </w:t>
            </w:r>
            <w:r w:rsidR="00EE0814">
              <w:rPr>
                <w:color w:val="000000" w:themeColor="text1"/>
                <w:szCs w:val="22"/>
              </w:rPr>
              <w:t>Section</w:t>
            </w:r>
            <w:r w:rsidR="00EE0814" w:rsidRPr="0034640D">
              <w:rPr>
                <w:color w:val="000000" w:themeColor="text1"/>
                <w:szCs w:val="22"/>
              </w:rPr>
              <w:t xml:space="preserve"> </w:t>
            </w:r>
            <w:r w:rsidR="00EE0814">
              <w:rPr>
                <w:color w:val="000000" w:themeColor="text1"/>
                <w:szCs w:val="22"/>
              </w:rPr>
              <w:t>3</w:t>
            </w:r>
            <w:r w:rsidR="00E52A56" w:rsidRPr="0034640D">
              <w:rPr>
                <w:color w:val="000000" w:themeColor="text1"/>
                <w:szCs w:val="22"/>
              </w:rPr>
              <w:t>.</w:t>
            </w:r>
          </w:p>
        </w:tc>
      </w:tr>
    </w:tbl>
    <w:p w14:paraId="5D5BC81F" w14:textId="77777777" w:rsidR="00E52A56" w:rsidRDefault="00E52A56" w:rsidP="00E52A56">
      <w:pPr>
        <w:pStyle w:val="1Heading"/>
      </w:pPr>
      <w:bookmarkStart w:id="20" w:name="beginning"/>
      <w:bookmarkEnd w:id="20"/>
      <w:r>
        <w:lastRenderedPageBreak/>
        <w:t>INTRODUCTION</w:t>
      </w:r>
    </w:p>
    <w:p w14:paraId="62704D3D" w14:textId="13ED0500" w:rsidR="00A2282B" w:rsidRDefault="001814F8" w:rsidP="001814F8">
      <w:pPr>
        <w:pStyle w:val="2Para"/>
        <w:numPr>
          <w:ilvl w:val="0"/>
          <w:numId w:val="0"/>
        </w:numPr>
        <w:rPr>
          <w:color w:val="000000" w:themeColor="text1"/>
        </w:rPr>
      </w:pPr>
      <w:r w:rsidRPr="00D47950">
        <w:rPr>
          <w:color w:val="000000" w:themeColor="text1"/>
        </w:rPr>
        <w:t xml:space="preserve">ICAO Annex 10, Appendix B, section 3.6.7.3.4 prohibits the GBAS ground station </w:t>
      </w:r>
      <w:r w:rsidR="00D47950">
        <w:rPr>
          <w:color w:val="000000" w:themeColor="text1"/>
        </w:rPr>
        <w:t>from transmitting</w:t>
      </w:r>
      <w:r w:rsidRPr="00D47950">
        <w:rPr>
          <w:color w:val="000000" w:themeColor="text1"/>
        </w:rPr>
        <w:t xml:space="preserve"> parameters representing the residual ionospheric error (</w:t>
      </w:r>
      <w:r w:rsidR="004A37C4" w:rsidRPr="00D47950">
        <w:rPr>
          <w:color w:val="000000" w:themeColor="text1"/>
        </w:rPr>
        <w:t>M</w:t>
      </w:r>
      <w:r w:rsidR="003F43FD">
        <w:rPr>
          <w:color w:val="000000" w:themeColor="text1"/>
          <w:vertAlign w:val="subscript"/>
        </w:rPr>
        <w:t>E</w:t>
      </w:r>
      <w:r w:rsidR="003F43FD" w:rsidRPr="00C449D9">
        <w:rPr>
          <w:color w:val="000000" w:themeColor="text1"/>
          <w:vertAlign w:val="subscript"/>
        </w:rPr>
        <w:t>IG</w:t>
      </w:r>
      <w:r w:rsidR="004A37C4" w:rsidRPr="00D47950">
        <w:rPr>
          <w:color w:val="000000" w:themeColor="text1"/>
          <w:vertAlign w:val="subscript"/>
        </w:rPr>
        <w:t xml:space="preserve"> and </w:t>
      </w:r>
      <w:r w:rsidR="004A37C4" w:rsidRPr="00D47950">
        <w:rPr>
          <w:color w:val="000000" w:themeColor="text1"/>
        </w:rPr>
        <w:t>Y</w:t>
      </w:r>
      <w:r w:rsidR="003F43FD">
        <w:rPr>
          <w:color w:val="000000" w:themeColor="text1"/>
          <w:vertAlign w:val="subscript"/>
        </w:rPr>
        <w:t>EIG</w:t>
      </w:r>
      <w:r w:rsidRPr="00D47950">
        <w:rPr>
          <w:color w:val="000000" w:themeColor="text1"/>
        </w:rPr>
        <w:t xml:space="preserve">) that will </w:t>
      </w:r>
      <w:r w:rsidR="004A37C4" w:rsidRPr="00D47950">
        <w:rPr>
          <w:color w:val="000000" w:themeColor="text1"/>
        </w:rPr>
        <w:t xml:space="preserve">cause </w:t>
      </w:r>
      <w:r w:rsidR="00E65980">
        <w:rPr>
          <w:color w:val="000000" w:themeColor="text1"/>
        </w:rPr>
        <w:t xml:space="preserve">the largest undetected error due to an ionospheric gradient, </w:t>
      </w:r>
      <w:r w:rsidR="004A37C4" w:rsidRPr="00D47950">
        <w:rPr>
          <w:color w:val="000000" w:themeColor="text1"/>
        </w:rPr>
        <w:t>E</w:t>
      </w:r>
      <w:r w:rsidR="003F43FD" w:rsidRPr="00C449D9">
        <w:rPr>
          <w:color w:val="000000" w:themeColor="text1"/>
          <w:vertAlign w:val="subscript"/>
        </w:rPr>
        <w:t>IG</w:t>
      </w:r>
      <w:r w:rsidR="00E65980" w:rsidRPr="00936BF4">
        <w:rPr>
          <w:color w:val="000000" w:themeColor="text1"/>
        </w:rPr>
        <w:t>,</w:t>
      </w:r>
      <w:r w:rsidR="00E65980">
        <w:rPr>
          <w:color w:val="000000" w:themeColor="text1"/>
          <w:vertAlign w:val="subscript"/>
        </w:rPr>
        <w:t xml:space="preserve"> </w:t>
      </w:r>
      <w:r w:rsidR="004A37C4" w:rsidRPr="00D47950">
        <w:rPr>
          <w:color w:val="000000" w:themeColor="text1"/>
        </w:rPr>
        <w:t xml:space="preserve">to </w:t>
      </w:r>
      <w:r w:rsidRPr="00D47950">
        <w:rPr>
          <w:color w:val="000000" w:themeColor="text1"/>
        </w:rPr>
        <w:t>exceed 2.75m for any threshold supported by GAST D.</w:t>
      </w:r>
      <w:r w:rsidR="00A2282B">
        <w:rPr>
          <w:color w:val="000000" w:themeColor="text1"/>
        </w:rPr>
        <w:t xml:space="preserve">  JWGs/4-WP/19 and JWGs/5-WP</w:t>
      </w:r>
      <w:r w:rsidR="00BE1047">
        <w:rPr>
          <w:color w:val="000000" w:themeColor="text1"/>
        </w:rPr>
        <w:t>/</w:t>
      </w:r>
      <w:r w:rsidR="00A2282B">
        <w:rPr>
          <w:color w:val="000000" w:themeColor="text1"/>
        </w:rPr>
        <w:t>42 and –WP</w:t>
      </w:r>
      <w:r w:rsidR="00BE1047">
        <w:rPr>
          <w:color w:val="000000" w:themeColor="text1"/>
        </w:rPr>
        <w:t>/</w:t>
      </w:r>
      <w:r w:rsidR="00A2282B">
        <w:rPr>
          <w:color w:val="000000" w:themeColor="text1"/>
        </w:rPr>
        <w:t>50, as well as WP08 at this NSP/6 develop motivation and proposed SARPs maintenance to allow an exception to this limit where operational requirements such as availability can be met.</w:t>
      </w:r>
    </w:p>
    <w:p w14:paraId="25192D79" w14:textId="7A594FA8" w:rsidR="001814F8" w:rsidRPr="00D47950" w:rsidRDefault="00A2282B" w:rsidP="001814F8">
      <w:pPr>
        <w:pStyle w:val="2Para"/>
        <w:numPr>
          <w:ilvl w:val="0"/>
          <w:numId w:val="0"/>
        </w:numPr>
        <w:rPr>
          <w:color w:val="000000" w:themeColor="text1"/>
        </w:rPr>
      </w:pPr>
      <w:r>
        <w:rPr>
          <w:color w:val="000000" w:themeColor="text1"/>
        </w:rPr>
        <w:t xml:space="preserve">GWG Action 234 confirmed </w:t>
      </w:r>
      <w:r w:rsidR="007F37CD">
        <w:rPr>
          <w:color w:val="000000" w:themeColor="text1"/>
        </w:rPr>
        <w:t xml:space="preserve">the </w:t>
      </w:r>
      <w:r>
        <w:rPr>
          <w:color w:val="000000" w:themeColor="text1"/>
        </w:rPr>
        <w:t xml:space="preserve">GWG agreement that this was a desired maintenance change for the SARPs for GBAS GAST D to enable flexibility of siting and implementation, pending an assessment of the sensitivity of availability and </w:t>
      </w:r>
      <w:r w:rsidR="00E65980">
        <w:rPr>
          <w:color w:val="000000" w:themeColor="text1"/>
        </w:rPr>
        <w:t>Landing Threshold Point (</w:t>
      </w:r>
      <w:r>
        <w:rPr>
          <w:color w:val="000000" w:themeColor="text1"/>
        </w:rPr>
        <w:t>LTP</w:t>
      </w:r>
      <w:r w:rsidR="00E65980">
        <w:rPr>
          <w:color w:val="000000" w:themeColor="text1"/>
        </w:rPr>
        <w:t>)</w:t>
      </w:r>
      <w:r>
        <w:rPr>
          <w:color w:val="000000" w:themeColor="text1"/>
        </w:rPr>
        <w:t xml:space="preserve"> to GBAS distance to larger E</w:t>
      </w:r>
      <w:r w:rsidRPr="00936BF4">
        <w:rPr>
          <w:color w:val="000000" w:themeColor="text1"/>
          <w:vertAlign w:val="subscript"/>
        </w:rPr>
        <w:t>IG</w:t>
      </w:r>
      <w:r>
        <w:rPr>
          <w:color w:val="000000" w:themeColor="text1"/>
        </w:rPr>
        <w:t xml:space="preserve"> values.  This working paper provides </w:t>
      </w:r>
      <w:r w:rsidR="007F37CD">
        <w:rPr>
          <w:color w:val="000000" w:themeColor="text1"/>
        </w:rPr>
        <w:t xml:space="preserve">discussion and results from </w:t>
      </w:r>
      <w:r>
        <w:rPr>
          <w:color w:val="000000" w:themeColor="text1"/>
        </w:rPr>
        <w:t>such sensitivity analyses</w:t>
      </w:r>
      <w:r w:rsidR="007F37CD">
        <w:rPr>
          <w:color w:val="000000" w:themeColor="text1"/>
        </w:rPr>
        <w:t>, which is</w:t>
      </w:r>
      <w:r w:rsidR="0058080B">
        <w:rPr>
          <w:color w:val="000000" w:themeColor="text1"/>
        </w:rPr>
        <w:t xml:space="preserve"> proposed </w:t>
      </w:r>
      <w:r w:rsidR="007F37CD">
        <w:rPr>
          <w:color w:val="000000" w:themeColor="text1"/>
        </w:rPr>
        <w:t xml:space="preserve">for acceptance </w:t>
      </w:r>
      <w:r w:rsidR="0058080B">
        <w:rPr>
          <w:color w:val="000000" w:themeColor="text1"/>
        </w:rPr>
        <w:t xml:space="preserve">as validation </w:t>
      </w:r>
      <w:r w:rsidR="007F37CD">
        <w:rPr>
          <w:color w:val="000000" w:themeColor="text1"/>
        </w:rPr>
        <w:t>material for</w:t>
      </w:r>
      <w:r w:rsidR="0058080B">
        <w:rPr>
          <w:color w:val="000000" w:themeColor="text1"/>
        </w:rPr>
        <w:t xml:space="preserve"> the maintenance changes in WP</w:t>
      </w:r>
      <w:r w:rsidR="00BE1047">
        <w:rPr>
          <w:color w:val="000000" w:themeColor="text1"/>
        </w:rPr>
        <w:t>/</w:t>
      </w:r>
      <w:r w:rsidR="0058080B">
        <w:rPr>
          <w:color w:val="000000" w:themeColor="text1"/>
        </w:rPr>
        <w:t>08.</w:t>
      </w:r>
    </w:p>
    <w:p w14:paraId="0938083B" w14:textId="77777777" w:rsidR="007140C2" w:rsidRDefault="007140C2" w:rsidP="009B5AD3">
      <w:pPr>
        <w:pStyle w:val="1Heading"/>
      </w:pPr>
      <w:r>
        <w:t>Discussion</w:t>
      </w:r>
      <w:r w:rsidR="00F01544">
        <w:t xml:space="preserve"> </w:t>
      </w:r>
    </w:p>
    <w:p w14:paraId="69E7DE9C" w14:textId="6D213332" w:rsidR="00EA4A98" w:rsidRPr="00936BF4" w:rsidRDefault="0058080B" w:rsidP="00936BF4">
      <w:pPr>
        <w:pStyle w:val="2Para"/>
        <w:rPr>
          <w:b/>
          <w:lang w:val="en-US"/>
        </w:rPr>
      </w:pPr>
      <w:r>
        <w:rPr>
          <w:b/>
        </w:rPr>
        <w:t>Se</w:t>
      </w:r>
      <w:r w:rsidRPr="00936BF4">
        <w:rPr>
          <w:b/>
        </w:rPr>
        <w:t>nsitivity of LTP to GBAS distance versus E</w:t>
      </w:r>
      <w:r w:rsidRPr="00936BF4">
        <w:rPr>
          <w:b/>
          <w:vertAlign w:val="subscript"/>
        </w:rPr>
        <w:t>IG</w:t>
      </w:r>
      <w:r w:rsidRPr="00936BF4">
        <w:rPr>
          <w:b/>
        </w:rPr>
        <w:t>.</w:t>
      </w:r>
      <w:r w:rsidR="00F94017" w:rsidRPr="00936BF4">
        <w:rPr>
          <w:b/>
          <w:lang w:val="en-US"/>
        </w:rPr>
        <w:t xml:space="preserve"> </w:t>
      </w:r>
    </w:p>
    <w:p w14:paraId="21CD0CE6" w14:textId="2DD710F6" w:rsidR="0058080B" w:rsidRDefault="0058080B" w:rsidP="00A8443E">
      <w:pPr>
        <w:pStyle w:val="2Para"/>
        <w:numPr>
          <w:ilvl w:val="0"/>
          <w:numId w:val="0"/>
        </w:numPr>
        <w:tabs>
          <w:tab w:val="clear" w:pos="1440"/>
        </w:tabs>
        <w:rPr>
          <w:color w:val="000000" w:themeColor="text1"/>
          <w:lang w:val="en-US"/>
        </w:rPr>
      </w:pPr>
      <w:r>
        <w:rPr>
          <w:color w:val="000000" w:themeColor="text1"/>
          <w:lang w:val="en-US"/>
        </w:rPr>
        <w:t>JWGs/4-WP19 provided an example realistic relationship between E</w:t>
      </w:r>
      <w:r w:rsidRPr="00936BF4">
        <w:rPr>
          <w:color w:val="000000" w:themeColor="text1"/>
          <w:vertAlign w:val="subscript"/>
          <w:lang w:val="en-US"/>
        </w:rPr>
        <w:t>IG</w:t>
      </w:r>
      <w:r>
        <w:rPr>
          <w:color w:val="000000" w:themeColor="text1"/>
          <w:lang w:val="en-US"/>
        </w:rPr>
        <w:t xml:space="preserve"> and LTP distance from the GBAS reference point for the SARPs mid-latitude ionospheric anomaly threat model, reproduced in the figure below for convenience.</w:t>
      </w:r>
      <w:r w:rsidR="00523972">
        <w:rPr>
          <w:color w:val="000000" w:themeColor="text1"/>
          <w:lang w:val="en-US"/>
        </w:rPr>
        <w:t xml:space="preserve">  This relationship, or sensitivity, </w:t>
      </w:r>
      <w:r>
        <w:rPr>
          <w:color w:val="000000" w:themeColor="text1"/>
          <w:lang w:val="en-US"/>
        </w:rPr>
        <w:t>shows that E</w:t>
      </w:r>
      <w:r w:rsidRPr="00936BF4">
        <w:rPr>
          <w:color w:val="000000" w:themeColor="text1"/>
          <w:vertAlign w:val="subscript"/>
          <w:lang w:val="en-US"/>
        </w:rPr>
        <w:t>IG</w:t>
      </w:r>
      <w:r>
        <w:rPr>
          <w:color w:val="000000" w:themeColor="text1"/>
          <w:lang w:val="en-US"/>
        </w:rPr>
        <w:t xml:space="preserve"> would be required to be up to about 3.</w:t>
      </w:r>
      <w:r w:rsidR="00523972">
        <w:rPr>
          <w:color w:val="000000" w:themeColor="text1"/>
          <w:lang w:val="en-US"/>
        </w:rPr>
        <w:t>7 meters</w:t>
      </w:r>
      <w:r>
        <w:rPr>
          <w:color w:val="000000" w:themeColor="text1"/>
          <w:lang w:val="en-US"/>
        </w:rPr>
        <w:t xml:space="preserve"> for LTP at </w:t>
      </w:r>
      <w:r w:rsidR="00523972">
        <w:rPr>
          <w:color w:val="000000" w:themeColor="text1"/>
          <w:lang w:val="en-US"/>
        </w:rPr>
        <w:t xml:space="preserve">a distance, D = </w:t>
      </w:r>
      <w:r>
        <w:rPr>
          <w:color w:val="000000" w:themeColor="text1"/>
          <w:lang w:val="en-US"/>
        </w:rPr>
        <w:t>7km from the reference point.</w:t>
      </w:r>
      <w:r w:rsidR="00523972">
        <w:rPr>
          <w:color w:val="000000" w:themeColor="text1"/>
          <w:lang w:val="en-US"/>
        </w:rPr>
        <w:t xml:space="preserve">  </w:t>
      </w:r>
    </w:p>
    <w:p w14:paraId="724D8DFD" w14:textId="77777777" w:rsidR="00BE1047" w:rsidRDefault="0058080B" w:rsidP="00936BF4">
      <w:pPr>
        <w:pStyle w:val="2Para"/>
        <w:keepNext/>
        <w:numPr>
          <w:ilvl w:val="0"/>
          <w:numId w:val="0"/>
        </w:numPr>
        <w:tabs>
          <w:tab w:val="clear" w:pos="1440"/>
        </w:tabs>
        <w:jc w:val="center"/>
      </w:pPr>
      <w:r>
        <w:rPr>
          <w:noProof/>
          <w:lang w:val="en-US"/>
        </w:rPr>
        <w:drawing>
          <wp:inline distT="0" distB="0" distL="0" distR="0" wp14:anchorId="2A2C2FD6" wp14:editId="77AE1A1E">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53E767" w14:textId="4069A2FD" w:rsidR="00BC7F37" w:rsidRDefault="00BE1047" w:rsidP="00936BF4">
      <w:pPr>
        <w:pStyle w:val="Caption"/>
        <w:jc w:val="center"/>
        <w:rPr>
          <w:color w:val="000000" w:themeColor="text1"/>
          <w:lang w:val="en-US"/>
        </w:rPr>
      </w:pPr>
      <w:r>
        <w:t xml:space="preserve">Figure </w:t>
      </w:r>
      <w:r>
        <w:fldChar w:fldCharType="begin"/>
      </w:r>
      <w:r>
        <w:instrText xml:space="preserve"> SEQ Figure \* ARABIC </w:instrText>
      </w:r>
      <w:r>
        <w:fldChar w:fldCharType="separate"/>
      </w:r>
      <w:r w:rsidR="005725A2">
        <w:rPr>
          <w:noProof/>
        </w:rPr>
        <w:t>1</w:t>
      </w:r>
      <w:r>
        <w:fldChar w:fldCharType="end"/>
      </w:r>
      <w:r>
        <w:t>: Example Relationship between E</w:t>
      </w:r>
      <w:r w:rsidRPr="00936BF4">
        <w:rPr>
          <w:vertAlign w:val="subscript"/>
        </w:rPr>
        <w:t>IG</w:t>
      </w:r>
      <w:r>
        <w:t xml:space="preserve"> and the Distance, D, between GBAS Reference and Runway Threshold</w:t>
      </w:r>
    </w:p>
    <w:p w14:paraId="4E1320FB" w14:textId="32B1E1F6" w:rsidR="001F653D" w:rsidRDefault="008369BF" w:rsidP="00524F57">
      <w:pPr>
        <w:pStyle w:val="2Para"/>
        <w:numPr>
          <w:ilvl w:val="0"/>
          <w:numId w:val="0"/>
        </w:numPr>
        <w:tabs>
          <w:tab w:val="clear" w:pos="1440"/>
        </w:tabs>
        <w:rPr>
          <w:color w:val="000000" w:themeColor="text1"/>
          <w:lang w:val="en-US"/>
        </w:rPr>
      </w:pPr>
      <w:r>
        <w:rPr>
          <w:color w:val="000000" w:themeColor="text1"/>
          <w:lang w:val="en-US"/>
        </w:rPr>
        <w:lastRenderedPageBreak/>
        <w:t>F</w:t>
      </w:r>
      <w:r w:rsidR="00524F57">
        <w:rPr>
          <w:color w:val="000000" w:themeColor="text1"/>
          <w:lang w:val="en-US"/>
        </w:rPr>
        <w:t>or increased ionospheric anomaly threat spaces, the E</w:t>
      </w:r>
      <w:r w:rsidR="00524F57" w:rsidRPr="00936BF4">
        <w:rPr>
          <w:color w:val="000000" w:themeColor="text1"/>
          <w:vertAlign w:val="subscript"/>
          <w:lang w:val="en-US"/>
        </w:rPr>
        <w:t>IG</w:t>
      </w:r>
      <w:r w:rsidR="00524F57">
        <w:rPr>
          <w:color w:val="000000" w:themeColor="text1"/>
          <w:lang w:val="en-US"/>
        </w:rPr>
        <w:t xml:space="preserve"> vs. D relationship may be steeper, which would result in larger E</w:t>
      </w:r>
      <w:r w:rsidR="00524F57" w:rsidRPr="00936BF4">
        <w:rPr>
          <w:color w:val="000000" w:themeColor="text1"/>
          <w:vertAlign w:val="subscript"/>
          <w:lang w:val="en-US"/>
        </w:rPr>
        <w:t>IG</w:t>
      </w:r>
      <w:r w:rsidR="00524F57">
        <w:rPr>
          <w:color w:val="000000" w:themeColor="text1"/>
          <w:lang w:val="en-US"/>
        </w:rPr>
        <w:t xml:space="preserve"> versus D.  For example, E</w:t>
      </w:r>
      <w:r w:rsidR="00524F57" w:rsidRPr="00FF427E">
        <w:rPr>
          <w:color w:val="000000" w:themeColor="text1"/>
          <w:vertAlign w:val="subscript"/>
          <w:lang w:val="en-US"/>
        </w:rPr>
        <w:t>IG</w:t>
      </w:r>
      <w:r w:rsidR="00524F57">
        <w:rPr>
          <w:color w:val="000000" w:themeColor="text1"/>
          <w:lang w:val="en-US"/>
        </w:rPr>
        <w:t xml:space="preserve"> is less than 2.75 meters for a GBAS to LTP distance of about 5.1km with the existing ionospheric anomaly threat model, while a different threat model may result in E</w:t>
      </w:r>
      <w:r w:rsidR="00524F57" w:rsidRPr="00FF427E">
        <w:rPr>
          <w:color w:val="000000" w:themeColor="text1"/>
          <w:vertAlign w:val="subscript"/>
          <w:lang w:val="en-US"/>
        </w:rPr>
        <w:t>IG</w:t>
      </w:r>
      <w:r w:rsidR="00524F57">
        <w:rPr>
          <w:color w:val="000000" w:themeColor="text1"/>
          <w:lang w:val="en-US"/>
        </w:rPr>
        <w:t xml:space="preserve"> of 2.75 at a smaller distance, D.</w:t>
      </w:r>
      <w:r w:rsidR="001F653D">
        <w:rPr>
          <w:color w:val="000000" w:themeColor="text1"/>
          <w:lang w:val="en-US"/>
        </w:rPr>
        <w:t xml:space="preserve">  </w:t>
      </w:r>
      <w:r>
        <w:rPr>
          <w:color w:val="000000" w:themeColor="text1"/>
          <w:lang w:val="en-US"/>
        </w:rPr>
        <w:t>Additionally</w:t>
      </w:r>
      <w:r w:rsidR="001F653D">
        <w:rPr>
          <w:color w:val="000000" w:themeColor="text1"/>
          <w:lang w:val="en-US"/>
        </w:rPr>
        <w:t>, different ground station designs could mitigate ionospheric anomalies and result in reduced E</w:t>
      </w:r>
      <w:r w:rsidR="001F653D" w:rsidRPr="00936BF4">
        <w:rPr>
          <w:color w:val="000000" w:themeColor="text1"/>
          <w:vertAlign w:val="subscript"/>
          <w:lang w:val="en-US"/>
        </w:rPr>
        <w:t>IG</w:t>
      </w:r>
      <w:r w:rsidR="001F653D">
        <w:rPr>
          <w:color w:val="000000" w:themeColor="text1"/>
          <w:lang w:val="en-US"/>
        </w:rPr>
        <w:t xml:space="preserve"> vs. distance to a degree.  </w:t>
      </w:r>
      <w:r>
        <w:rPr>
          <w:color w:val="000000" w:themeColor="text1"/>
          <w:lang w:val="en-US"/>
        </w:rPr>
        <w:t xml:space="preserve">To illustrate the sensitivity of the </w:t>
      </w:r>
      <w:r w:rsidR="001F653D">
        <w:rPr>
          <w:color w:val="000000" w:themeColor="text1"/>
          <w:lang w:val="en-US"/>
        </w:rPr>
        <w:t xml:space="preserve">distance at which EIG can be 2.75 meters </w:t>
      </w:r>
      <w:r>
        <w:rPr>
          <w:color w:val="000000" w:themeColor="text1"/>
          <w:lang w:val="en-US"/>
        </w:rPr>
        <w:t xml:space="preserve">versus the ionospheric threat model, simulation results for three scenarios are </w:t>
      </w:r>
      <w:r w:rsidR="001F653D">
        <w:rPr>
          <w:color w:val="000000" w:themeColor="text1"/>
          <w:lang w:val="en-US"/>
        </w:rPr>
        <w:t xml:space="preserve">summarized </w:t>
      </w:r>
      <w:r>
        <w:rPr>
          <w:color w:val="000000" w:themeColor="text1"/>
          <w:lang w:val="en-US"/>
        </w:rPr>
        <w:t>for one ground station design as follows:</w:t>
      </w:r>
    </w:p>
    <w:p w14:paraId="027D7386" w14:textId="77777777" w:rsidR="001F653D" w:rsidRDefault="001F653D" w:rsidP="00524F57">
      <w:pPr>
        <w:pStyle w:val="2Para"/>
        <w:numPr>
          <w:ilvl w:val="0"/>
          <w:numId w:val="0"/>
        </w:numPr>
        <w:tabs>
          <w:tab w:val="clear" w:pos="1440"/>
        </w:tabs>
        <w:rPr>
          <w:color w:val="000000" w:themeColor="text1"/>
          <w:lang w:val="en-US"/>
        </w:rPr>
      </w:pPr>
    </w:p>
    <w:p w14:paraId="7F66402E" w14:textId="542CB2F6" w:rsidR="001F653D" w:rsidRPr="00936BF4" w:rsidRDefault="001F653D" w:rsidP="00936BF4">
      <w:pPr>
        <w:pStyle w:val="2Para"/>
        <w:numPr>
          <w:ilvl w:val="0"/>
          <w:numId w:val="50"/>
        </w:numPr>
        <w:tabs>
          <w:tab w:val="clear" w:pos="1440"/>
        </w:tabs>
        <w:spacing w:before="120" w:after="0"/>
        <w:rPr>
          <w:color w:val="000000" w:themeColor="text1"/>
          <w:lang w:val="en-US"/>
        </w:rPr>
      </w:pPr>
      <w:r w:rsidRPr="00936BF4">
        <w:rPr>
          <w:color w:val="000000" w:themeColor="text1"/>
          <w:lang w:val="en-US"/>
        </w:rPr>
        <w:t>~5km – ICAO Standard Ionosphere Threat Model with maximum 500 mm/km gradient</w:t>
      </w:r>
    </w:p>
    <w:p w14:paraId="51DA61CE" w14:textId="4E22F652" w:rsidR="001F653D" w:rsidRPr="00936BF4" w:rsidRDefault="001F653D" w:rsidP="00936BF4">
      <w:pPr>
        <w:pStyle w:val="2Para"/>
        <w:numPr>
          <w:ilvl w:val="0"/>
          <w:numId w:val="50"/>
        </w:numPr>
        <w:tabs>
          <w:tab w:val="clear" w:pos="1440"/>
        </w:tabs>
        <w:spacing w:before="120" w:after="0"/>
        <w:rPr>
          <w:color w:val="000000" w:themeColor="text1"/>
          <w:lang w:val="en-US"/>
        </w:rPr>
      </w:pPr>
      <w:r w:rsidRPr="00936BF4">
        <w:rPr>
          <w:color w:val="000000" w:themeColor="text1"/>
          <w:lang w:val="en-US"/>
        </w:rPr>
        <w:t>~4km – ICAO Standard Ionosphere Threat Model with maximum 600 mm/km gradient</w:t>
      </w:r>
    </w:p>
    <w:p w14:paraId="3EE0B8EB" w14:textId="3673E39D" w:rsidR="001F653D" w:rsidRPr="00936BF4" w:rsidRDefault="001F653D" w:rsidP="00936BF4">
      <w:pPr>
        <w:pStyle w:val="2Para"/>
        <w:numPr>
          <w:ilvl w:val="0"/>
          <w:numId w:val="50"/>
        </w:numPr>
        <w:tabs>
          <w:tab w:val="clear" w:pos="1440"/>
        </w:tabs>
        <w:spacing w:before="120" w:after="0"/>
        <w:rPr>
          <w:color w:val="000000" w:themeColor="text1"/>
          <w:lang w:val="en-US"/>
        </w:rPr>
      </w:pPr>
      <w:r w:rsidRPr="00936BF4">
        <w:rPr>
          <w:color w:val="000000" w:themeColor="text1"/>
          <w:lang w:val="en-US"/>
        </w:rPr>
        <w:t xml:space="preserve">~3km </w:t>
      </w:r>
      <w:r w:rsidR="008369BF" w:rsidRPr="00936BF4">
        <w:rPr>
          <w:color w:val="000000" w:themeColor="text1"/>
          <w:lang w:val="en-US"/>
        </w:rPr>
        <w:t>–</w:t>
      </w:r>
      <w:r w:rsidRPr="00936BF4">
        <w:rPr>
          <w:color w:val="000000" w:themeColor="text1"/>
          <w:lang w:val="en-US"/>
        </w:rPr>
        <w:t xml:space="preserve"> </w:t>
      </w:r>
      <w:r w:rsidR="008369BF" w:rsidRPr="00936BF4">
        <w:rPr>
          <w:color w:val="000000" w:themeColor="text1"/>
          <w:lang w:val="en-US"/>
        </w:rPr>
        <w:t>Ionosphere Threat Model based on Asia Pacific region observations</w:t>
      </w:r>
    </w:p>
    <w:p w14:paraId="47B41120" w14:textId="6D365628" w:rsidR="001F653D" w:rsidRDefault="008369BF" w:rsidP="00524F57">
      <w:pPr>
        <w:pStyle w:val="2Para"/>
        <w:numPr>
          <w:ilvl w:val="0"/>
          <w:numId w:val="0"/>
        </w:numPr>
        <w:tabs>
          <w:tab w:val="clear" w:pos="1440"/>
        </w:tabs>
        <w:rPr>
          <w:color w:val="000000" w:themeColor="text1"/>
          <w:lang w:val="en-US"/>
        </w:rPr>
      </w:pPr>
      <w:r>
        <w:rPr>
          <w:color w:val="000000" w:themeColor="text1"/>
          <w:lang w:val="en-US"/>
        </w:rPr>
        <w:t>These are examples based on simulation results provided in the attachment material.  This material was generated by Indra Navia using the same methods and simulations used to validate the GAST D SARPs for the standard threat model.  It is apparent that if the ionosphere threat space increases over the years with more observations, and for equatorial regions like the Asia Pacific region, there can be a multiple kilometer difference in the siting flexibility for GAST D stations.</w:t>
      </w:r>
    </w:p>
    <w:p w14:paraId="4D169A01" w14:textId="1E4510F8" w:rsidR="00523972" w:rsidRDefault="00523972" w:rsidP="00936BF4">
      <w:pPr>
        <w:pStyle w:val="2Para"/>
        <w:numPr>
          <w:ilvl w:val="0"/>
          <w:numId w:val="0"/>
        </w:numPr>
        <w:tabs>
          <w:tab w:val="clear" w:pos="1440"/>
        </w:tabs>
        <w:rPr>
          <w:color w:val="000000" w:themeColor="text1"/>
          <w:lang w:val="en-US"/>
        </w:rPr>
      </w:pPr>
      <w:r>
        <w:rPr>
          <w:color w:val="000000" w:themeColor="text1"/>
          <w:lang w:val="en-US"/>
        </w:rPr>
        <w:t xml:space="preserve">To illustrate the potential utility of allowing EIG </w:t>
      </w:r>
      <w:r w:rsidR="00BE1047">
        <w:rPr>
          <w:color w:val="000000" w:themeColor="text1"/>
          <w:lang w:val="en-US"/>
        </w:rPr>
        <w:t>to be larger than 2.75 meters, JWGs/4-WP/19 gave several examples of airports where runway thresholds are separated by large distances.  If a GBAS is to be sited anywhere on the airport property, then the largest GBAS distance to a threshold can be estimated to be the maximum threshold separation.  And, to support all runway ends, the shortest GBAS distance to a threshold must be greater than half that value,</w:t>
      </w:r>
      <w:r w:rsidR="007F37CD">
        <w:rPr>
          <w:color w:val="000000" w:themeColor="text1"/>
          <w:lang w:val="en-US"/>
        </w:rPr>
        <w:t xml:space="preserve"> which assumes that </w:t>
      </w:r>
      <w:r w:rsidR="00BE1047">
        <w:rPr>
          <w:color w:val="000000" w:themeColor="text1"/>
          <w:lang w:val="en-US"/>
        </w:rPr>
        <w:t>the GBAS can be sited at the mid-point between those thresholds.  In reality, the GBAS must be sited somewhere in between.</w:t>
      </w:r>
    </w:p>
    <w:p w14:paraId="7C43A179" w14:textId="53AF7843" w:rsidR="00E65980" w:rsidRDefault="00BE1047" w:rsidP="00A8443E">
      <w:pPr>
        <w:pStyle w:val="2Para"/>
        <w:numPr>
          <w:ilvl w:val="0"/>
          <w:numId w:val="0"/>
        </w:numPr>
        <w:tabs>
          <w:tab w:val="clear" w:pos="1440"/>
        </w:tabs>
        <w:rPr>
          <w:color w:val="000000" w:themeColor="text1"/>
          <w:lang w:val="en-US"/>
        </w:rPr>
      </w:pPr>
      <w:r>
        <w:rPr>
          <w:color w:val="000000" w:themeColor="text1"/>
          <w:lang w:val="en-US"/>
        </w:rPr>
        <w:t xml:space="preserve">The table below explores runway threshold separations for the largest 15 airports in 2018 by surface area and the maximum </w:t>
      </w:r>
      <w:r w:rsidR="00E65980">
        <w:rPr>
          <w:color w:val="000000" w:themeColor="text1"/>
          <w:lang w:val="en-US"/>
        </w:rPr>
        <w:t xml:space="preserve">LTP to LTP distances as a proxy for the maximum </w:t>
      </w:r>
      <w:r>
        <w:rPr>
          <w:color w:val="000000" w:themeColor="text1"/>
          <w:lang w:val="en-US"/>
        </w:rPr>
        <w:t>GBAS</w:t>
      </w:r>
      <w:r w:rsidR="00E65980">
        <w:rPr>
          <w:color w:val="000000" w:themeColor="text1"/>
          <w:lang w:val="en-US"/>
        </w:rPr>
        <w:t xml:space="preserve"> to LTP</w:t>
      </w:r>
      <w:r>
        <w:rPr>
          <w:color w:val="000000" w:themeColor="text1"/>
          <w:lang w:val="en-US"/>
        </w:rPr>
        <w:t xml:space="preserve"> distances.</w:t>
      </w:r>
      <w:r w:rsidR="00E65980">
        <w:rPr>
          <w:color w:val="000000" w:themeColor="text1"/>
          <w:lang w:val="en-US"/>
        </w:rPr>
        <w:t xml:space="preserve">  While the worst case GBAS to LTP distance may be often avoided through careful siting, in many cases, even a fraction of the maximum will be greater than 5.1 km, still resulting in a need for E</w:t>
      </w:r>
      <w:r w:rsidR="00E65980" w:rsidRPr="00936BF4">
        <w:rPr>
          <w:color w:val="000000" w:themeColor="text1"/>
          <w:vertAlign w:val="subscript"/>
          <w:lang w:val="en-US"/>
        </w:rPr>
        <w:t>IG</w:t>
      </w:r>
      <w:r w:rsidR="00E65980">
        <w:rPr>
          <w:color w:val="000000" w:themeColor="text1"/>
          <w:lang w:val="en-US"/>
        </w:rPr>
        <w:t xml:space="preserve"> greater than 2.75 meters.  Furthermore, since the ionosphere threat may be greater for equatorial regions, the distance at which 2.75 meters E</w:t>
      </w:r>
      <w:r w:rsidR="00E65980" w:rsidRPr="00936BF4">
        <w:rPr>
          <w:color w:val="000000" w:themeColor="text1"/>
          <w:vertAlign w:val="subscript"/>
          <w:lang w:val="en-US"/>
        </w:rPr>
        <w:t>IG</w:t>
      </w:r>
      <w:r w:rsidR="00E65980">
        <w:rPr>
          <w:color w:val="000000" w:themeColor="text1"/>
          <w:lang w:val="en-US"/>
        </w:rPr>
        <w:t xml:space="preserve"> is reached will be </w:t>
      </w:r>
      <w:r w:rsidR="008369BF">
        <w:rPr>
          <w:color w:val="000000" w:themeColor="text1"/>
          <w:lang w:val="en-US"/>
        </w:rPr>
        <w:t>closer to 3 km, which is already less than half the largest distance for Shanghai Pudong International Airport.  This indicates that without an E</w:t>
      </w:r>
      <w:r w:rsidR="008369BF" w:rsidRPr="00936BF4">
        <w:rPr>
          <w:color w:val="000000" w:themeColor="text1"/>
          <w:vertAlign w:val="subscript"/>
          <w:lang w:val="en-US"/>
        </w:rPr>
        <w:t>IG</w:t>
      </w:r>
      <w:r w:rsidR="008369BF">
        <w:rPr>
          <w:color w:val="000000" w:themeColor="text1"/>
          <w:lang w:val="en-US"/>
        </w:rPr>
        <w:t xml:space="preserve"> greater than 2.75 meters, there may be no place for a single GBAS to be located that could serve all runways at </w:t>
      </w:r>
      <w:r w:rsidR="00F57A85">
        <w:rPr>
          <w:color w:val="000000" w:themeColor="text1"/>
          <w:lang w:val="en-US"/>
        </w:rPr>
        <w:t>some airports</w:t>
      </w:r>
      <w:r w:rsidR="008369BF">
        <w:rPr>
          <w:color w:val="000000" w:themeColor="text1"/>
          <w:lang w:val="en-US"/>
        </w:rPr>
        <w:t>.</w:t>
      </w:r>
    </w:p>
    <w:tbl>
      <w:tblPr>
        <w:tblW w:w="9350" w:type="dxa"/>
        <w:tblLook w:val="04A0" w:firstRow="1" w:lastRow="0" w:firstColumn="1" w:lastColumn="0" w:noHBand="0" w:noVBand="1"/>
      </w:tblPr>
      <w:tblGrid>
        <w:gridCol w:w="440"/>
        <w:gridCol w:w="3870"/>
        <w:gridCol w:w="1800"/>
        <w:gridCol w:w="1440"/>
        <w:gridCol w:w="1800"/>
      </w:tblGrid>
      <w:tr w:rsidR="00E65980" w:rsidRPr="00E65980" w14:paraId="1AD690A5" w14:textId="77777777" w:rsidTr="00936BF4">
        <w:trPr>
          <w:trHeight w:val="876"/>
        </w:trPr>
        <w:tc>
          <w:tcPr>
            <w:tcW w:w="440" w:type="dxa"/>
            <w:tcBorders>
              <w:top w:val="single" w:sz="8" w:space="0" w:color="A3A3A3"/>
              <w:left w:val="single" w:sz="8" w:space="0" w:color="A3A3A3"/>
              <w:bottom w:val="single" w:sz="8" w:space="0" w:color="A3A3A3"/>
              <w:right w:val="single" w:sz="8" w:space="0" w:color="A3A3A3"/>
            </w:tcBorders>
            <w:shd w:val="clear" w:color="auto" w:fill="EEECE1" w:themeFill="background2"/>
            <w:vAlign w:val="center"/>
            <w:hideMark/>
          </w:tcPr>
          <w:p w14:paraId="77651255"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 </w:t>
            </w:r>
          </w:p>
        </w:tc>
        <w:tc>
          <w:tcPr>
            <w:tcW w:w="3870" w:type="dxa"/>
            <w:tcBorders>
              <w:top w:val="single" w:sz="8" w:space="0" w:color="A3A3A3"/>
              <w:left w:val="nil"/>
              <w:bottom w:val="single" w:sz="8" w:space="0" w:color="A3A3A3"/>
              <w:right w:val="single" w:sz="8" w:space="0" w:color="A3A3A3"/>
            </w:tcBorders>
            <w:shd w:val="clear" w:color="auto" w:fill="EEECE1" w:themeFill="background2"/>
            <w:vAlign w:val="center"/>
            <w:hideMark/>
          </w:tcPr>
          <w:p w14:paraId="7B7D50F8"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Airport</w:t>
            </w:r>
          </w:p>
        </w:tc>
        <w:tc>
          <w:tcPr>
            <w:tcW w:w="1800" w:type="dxa"/>
            <w:tcBorders>
              <w:top w:val="single" w:sz="8" w:space="0" w:color="A3A3A3"/>
              <w:left w:val="nil"/>
              <w:bottom w:val="single" w:sz="8" w:space="0" w:color="A3A3A3"/>
              <w:right w:val="single" w:sz="8" w:space="0" w:color="A3A3A3"/>
            </w:tcBorders>
            <w:shd w:val="clear" w:color="auto" w:fill="EEECE1" w:themeFill="background2"/>
            <w:vAlign w:val="center"/>
            <w:hideMark/>
          </w:tcPr>
          <w:p w14:paraId="1198314F"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Country</w:t>
            </w:r>
          </w:p>
        </w:tc>
        <w:tc>
          <w:tcPr>
            <w:tcW w:w="1440" w:type="dxa"/>
            <w:tcBorders>
              <w:top w:val="single" w:sz="8" w:space="0" w:color="A3A3A3"/>
              <w:left w:val="nil"/>
              <w:bottom w:val="single" w:sz="8" w:space="0" w:color="A3A3A3"/>
              <w:right w:val="single" w:sz="8" w:space="0" w:color="A3A3A3"/>
            </w:tcBorders>
            <w:shd w:val="clear" w:color="auto" w:fill="EEECE1" w:themeFill="background2"/>
            <w:vAlign w:val="center"/>
            <w:hideMark/>
          </w:tcPr>
          <w:p w14:paraId="16A856E1" w14:textId="0926E6D5"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 xml:space="preserve">Geomagnetic </w:t>
            </w:r>
            <w:r>
              <w:rPr>
                <w:rFonts w:ascii="Calibri" w:hAnsi="Calibri" w:cs="Calibri"/>
                <w:szCs w:val="22"/>
                <w:lang w:val="en-US"/>
              </w:rPr>
              <w:t>L</w:t>
            </w:r>
            <w:r w:rsidRPr="00E65980">
              <w:rPr>
                <w:rFonts w:ascii="Calibri" w:hAnsi="Calibri" w:cs="Calibri"/>
                <w:szCs w:val="22"/>
                <w:lang w:val="en-US"/>
              </w:rPr>
              <w:t>atitude</w:t>
            </w:r>
          </w:p>
        </w:tc>
        <w:tc>
          <w:tcPr>
            <w:tcW w:w="1800" w:type="dxa"/>
            <w:tcBorders>
              <w:top w:val="single" w:sz="8" w:space="0" w:color="A3A3A3"/>
              <w:left w:val="nil"/>
              <w:bottom w:val="single" w:sz="8" w:space="0" w:color="A3A3A3"/>
              <w:right w:val="single" w:sz="8" w:space="0" w:color="A3A3A3"/>
            </w:tcBorders>
            <w:shd w:val="clear" w:color="auto" w:fill="EEECE1" w:themeFill="background2"/>
            <w:vAlign w:val="center"/>
            <w:hideMark/>
          </w:tcPr>
          <w:p w14:paraId="5319AB89"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 xml:space="preserve">Largest Distance </w:t>
            </w:r>
            <w:r w:rsidRPr="00E65980">
              <w:rPr>
                <w:rFonts w:ascii="Calibri" w:hAnsi="Calibri" w:cs="Calibri"/>
                <w:szCs w:val="22"/>
                <w:lang w:val="en-US"/>
              </w:rPr>
              <w:br/>
              <w:t xml:space="preserve">LTP to LTP or </w:t>
            </w:r>
            <w:r w:rsidRPr="00E65980">
              <w:rPr>
                <w:rFonts w:ascii="Calibri" w:hAnsi="Calibri" w:cs="Calibri"/>
                <w:szCs w:val="22"/>
                <w:lang w:val="en-US"/>
              </w:rPr>
              <w:br/>
              <w:t>GBAS to LTP (km)</w:t>
            </w:r>
          </w:p>
        </w:tc>
      </w:tr>
      <w:tr w:rsidR="00E65980" w:rsidRPr="00E65980" w14:paraId="7435E351" w14:textId="77777777" w:rsidTr="00936BF4">
        <w:trPr>
          <w:trHeight w:val="313"/>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3477D6AB"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w:t>
            </w:r>
          </w:p>
        </w:tc>
        <w:tc>
          <w:tcPr>
            <w:tcW w:w="3870" w:type="dxa"/>
            <w:tcBorders>
              <w:top w:val="nil"/>
              <w:left w:val="nil"/>
              <w:bottom w:val="single" w:sz="8" w:space="0" w:color="A3A3A3"/>
              <w:right w:val="single" w:sz="8" w:space="0" w:color="A3A3A3"/>
            </w:tcBorders>
            <w:shd w:val="clear" w:color="auto" w:fill="auto"/>
            <w:vAlign w:val="center"/>
            <w:hideMark/>
          </w:tcPr>
          <w:p w14:paraId="747337F5"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King Fahd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0336AA0B"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Saudi Arabia</w:t>
            </w:r>
          </w:p>
        </w:tc>
        <w:tc>
          <w:tcPr>
            <w:tcW w:w="1440" w:type="dxa"/>
            <w:tcBorders>
              <w:top w:val="nil"/>
              <w:left w:val="nil"/>
              <w:bottom w:val="single" w:sz="8" w:space="0" w:color="A3A3A3"/>
              <w:right w:val="single" w:sz="8" w:space="0" w:color="A3A3A3"/>
            </w:tcBorders>
            <w:shd w:val="clear" w:color="auto" w:fill="auto"/>
            <w:vAlign w:val="center"/>
            <w:hideMark/>
          </w:tcPr>
          <w:p w14:paraId="63261B2C"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21.02N</w:t>
            </w:r>
          </w:p>
        </w:tc>
        <w:tc>
          <w:tcPr>
            <w:tcW w:w="1800" w:type="dxa"/>
            <w:tcBorders>
              <w:top w:val="nil"/>
              <w:left w:val="nil"/>
              <w:bottom w:val="single" w:sz="8" w:space="0" w:color="A3A3A3"/>
              <w:right w:val="single" w:sz="8" w:space="0" w:color="A3A3A3"/>
            </w:tcBorders>
            <w:shd w:val="clear" w:color="auto" w:fill="auto"/>
            <w:vAlign w:val="center"/>
            <w:hideMark/>
          </w:tcPr>
          <w:p w14:paraId="47ED4326"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w:t>
            </w:r>
          </w:p>
        </w:tc>
      </w:tr>
      <w:tr w:rsidR="00E65980" w:rsidRPr="00E65980" w14:paraId="6350D31E" w14:textId="77777777" w:rsidTr="00936BF4">
        <w:trPr>
          <w:trHeight w:val="250"/>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525E8473"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2</w:t>
            </w:r>
          </w:p>
        </w:tc>
        <w:tc>
          <w:tcPr>
            <w:tcW w:w="3870" w:type="dxa"/>
            <w:tcBorders>
              <w:top w:val="nil"/>
              <w:left w:val="nil"/>
              <w:bottom w:val="single" w:sz="8" w:space="0" w:color="A3A3A3"/>
              <w:right w:val="single" w:sz="8" w:space="0" w:color="A3A3A3"/>
            </w:tcBorders>
            <w:shd w:val="clear" w:color="auto" w:fill="auto"/>
            <w:vAlign w:val="center"/>
            <w:hideMark/>
          </w:tcPr>
          <w:p w14:paraId="0F0C0A85"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Denver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5BFC428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7790B69D"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47.45N</w:t>
            </w:r>
          </w:p>
        </w:tc>
        <w:tc>
          <w:tcPr>
            <w:tcW w:w="1800" w:type="dxa"/>
            <w:tcBorders>
              <w:top w:val="nil"/>
              <w:left w:val="nil"/>
              <w:bottom w:val="single" w:sz="8" w:space="0" w:color="A3A3A3"/>
              <w:right w:val="single" w:sz="8" w:space="0" w:color="A3A3A3"/>
            </w:tcBorders>
            <w:shd w:val="clear" w:color="auto" w:fill="auto"/>
            <w:vAlign w:val="center"/>
            <w:hideMark/>
          </w:tcPr>
          <w:p w14:paraId="05BA9E20"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8.4</w:t>
            </w:r>
          </w:p>
        </w:tc>
      </w:tr>
      <w:tr w:rsidR="00E65980" w:rsidRPr="00E65980" w14:paraId="73EF4295" w14:textId="77777777" w:rsidTr="00936BF4">
        <w:trPr>
          <w:trHeight w:val="403"/>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2EC00728"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3</w:t>
            </w:r>
          </w:p>
        </w:tc>
        <w:tc>
          <w:tcPr>
            <w:tcW w:w="3870" w:type="dxa"/>
            <w:tcBorders>
              <w:top w:val="nil"/>
              <w:left w:val="nil"/>
              <w:bottom w:val="single" w:sz="8" w:space="0" w:color="A3A3A3"/>
              <w:right w:val="single" w:sz="8" w:space="0" w:color="A3A3A3"/>
            </w:tcBorders>
            <w:shd w:val="clear" w:color="auto" w:fill="auto"/>
            <w:vAlign w:val="center"/>
            <w:hideMark/>
          </w:tcPr>
          <w:p w14:paraId="17DF5A88"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Dallas/Fort Worth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6EA0D471"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2B02E65E"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41.2N</w:t>
            </w:r>
          </w:p>
        </w:tc>
        <w:tc>
          <w:tcPr>
            <w:tcW w:w="1800" w:type="dxa"/>
            <w:tcBorders>
              <w:top w:val="nil"/>
              <w:left w:val="nil"/>
              <w:bottom w:val="single" w:sz="8" w:space="0" w:color="A3A3A3"/>
              <w:right w:val="single" w:sz="8" w:space="0" w:color="A3A3A3"/>
            </w:tcBorders>
            <w:shd w:val="clear" w:color="auto" w:fill="auto"/>
            <w:vAlign w:val="center"/>
            <w:hideMark/>
          </w:tcPr>
          <w:p w14:paraId="294C6C9B"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7.8</w:t>
            </w:r>
          </w:p>
        </w:tc>
      </w:tr>
      <w:tr w:rsidR="00E65980" w:rsidRPr="00E65980" w14:paraId="5C03B784" w14:textId="77777777" w:rsidTr="00936BF4">
        <w:trPr>
          <w:trHeight w:val="12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3CDA4AE3"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4</w:t>
            </w:r>
          </w:p>
        </w:tc>
        <w:tc>
          <w:tcPr>
            <w:tcW w:w="3870" w:type="dxa"/>
            <w:tcBorders>
              <w:top w:val="nil"/>
              <w:left w:val="nil"/>
              <w:bottom w:val="single" w:sz="8" w:space="0" w:color="A3A3A3"/>
              <w:right w:val="single" w:sz="8" w:space="0" w:color="A3A3A3"/>
            </w:tcBorders>
            <w:shd w:val="clear" w:color="auto" w:fill="auto"/>
            <w:vAlign w:val="center"/>
            <w:hideMark/>
          </w:tcPr>
          <w:p w14:paraId="1D77AA94"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Orlando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12D7A78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76422BD2"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37.56N</w:t>
            </w:r>
          </w:p>
        </w:tc>
        <w:tc>
          <w:tcPr>
            <w:tcW w:w="1800" w:type="dxa"/>
            <w:tcBorders>
              <w:top w:val="nil"/>
              <w:left w:val="nil"/>
              <w:bottom w:val="single" w:sz="8" w:space="0" w:color="A3A3A3"/>
              <w:right w:val="single" w:sz="8" w:space="0" w:color="A3A3A3"/>
            </w:tcBorders>
            <w:shd w:val="clear" w:color="auto" w:fill="auto"/>
            <w:vAlign w:val="center"/>
            <w:hideMark/>
          </w:tcPr>
          <w:p w14:paraId="63981252"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5.4</w:t>
            </w:r>
          </w:p>
        </w:tc>
      </w:tr>
      <w:tr w:rsidR="00E65980" w:rsidRPr="00E65980" w14:paraId="1C99E15C"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15A43A18"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5</w:t>
            </w:r>
          </w:p>
        </w:tc>
        <w:tc>
          <w:tcPr>
            <w:tcW w:w="3870" w:type="dxa"/>
            <w:tcBorders>
              <w:top w:val="nil"/>
              <w:left w:val="nil"/>
              <w:bottom w:val="single" w:sz="8" w:space="0" w:color="A3A3A3"/>
              <w:right w:val="single" w:sz="8" w:space="0" w:color="A3A3A3"/>
            </w:tcBorders>
            <w:shd w:val="clear" w:color="auto" w:fill="auto"/>
            <w:vAlign w:val="center"/>
            <w:hideMark/>
          </w:tcPr>
          <w:p w14:paraId="585556DA"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Washington Dulles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5CF1C282"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41BFE2D9"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48.14N</w:t>
            </w:r>
          </w:p>
        </w:tc>
        <w:tc>
          <w:tcPr>
            <w:tcW w:w="1800" w:type="dxa"/>
            <w:tcBorders>
              <w:top w:val="nil"/>
              <w:left w:val="nil"/>
              <w:bottom w:val="single" w:sz="8" w:space="0" w:color="A3A3A3"/>
              <w:right w:val="single" w:sz="8" w:space="0" w:color="A3A3A3"/>
            </w:tcBorders>
            <w:shd w:val="clear" w:color="auto" w:fill="auto"/>
            <w:vAlign w:val="center"/>
            <w:hideMark/>
          </w:tcPr>
          <w:p w14:paraId="796E6EB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6.1</w:t>
            </w:r>
          </w:p>
        </w:tc>
      </w:tr>
      <w:tr w:rsidR="00E65980" w:rsidRPr="00E65980" w14:paraId="127E93A7"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56674489"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6</w:t>
            </w:r>
          </w:p>
        </w:tc>
        <w:tc>
          <w:tcPr>
            <w:tcW w:w="3870" w:type="dxa"/>
            <w:tcBorders>
              <w:top w:val="nil"/>
              <w:left w:val="nil"/>
              <w:bottom w:val="single" w:sz="8" w:space="0" w:color="A3A3A3"/>
              <w:right w:val="single" w:sz="8" w:space="0" w:color="A3A3A3"/>
            </w:tcBorders>
            <w:shd w:val="clear" w:color="auto" w:fill="auto"/>
            <w:vAlign w:val="center"/>
            <w:hideMark/>
          </w:tcPr>
          <w:p w14:paraId="52BD2BDD"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George Bush Intercontinental Airport</w:t>
            </w:r>
          </w:p>
        </w:tc>
        <w:tc>
          <w:tcPr>
            <w:tcW w:w="1800" w:type="dxa"/>
            <w:tcBorders>
              <w:top w:val="nil"/>
              <w:left w:val="nil"/>
              <w:bottom w:val="single" w:sz="8" w:space="0" w:color="A3A3A3"/>
              <w:right w:val="single" w:sz="8" w:space="0" w:color="A3A3A3"/>
            </w:tcBorders>
            <w:shd w:val="clear" w:color="auto" w:fill="auto"/>
            <w:vAlign w:val="center"/>
            <w:hideMark/>
          </w:tcPr>
          <w:p w14:paraId="3E488CEF"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005389E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38.43N</w:t>
            </w:r>
          </w:p>
        </w:tc>
        <w:tc>
          <w:tcPr>
            <w:tcW w:w="1800" w:type="dxa"/>
            <w:tcBorders>
              <w:top w:val="nil"/>
              <w:left w:val="nil"/>
              <w:bottom w:val="single" w:sz="8" w:space="0" w:color="A3A3A3"/>
              <w:right w:val="single" w:sz="8" w:space="0" w:color="A3A3A3"/>
            </w:tcBorders>
            <w:shd w:val="clear" w:color="auto" w:fill="auto"/>
            <w:vAlign w:val="center"/>
            <w:hideMark/>
          </w:tcPr>
          <w:p w14:paraId="1FDD93DF"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5.6</w:t>
            </w:r>
          </w:p>
        </w:tc>
      </w:tr>
      <w:tr w:rsidR="00E65980" w:rsidRPr="00E65980" w14:paraId="6798ACAE"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1CF33407"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7</w:t>
            </w:r>
          </w:p>
        </w:tc>
        <w:tc>
          <w:tcPr>
            <w:tcW w:w="3870" w:type="dxa"/>
            <w:tcBorders>
              <w:top w:val="nil"/>
              <w:left w:val="nil"/>
              <w:bottom w:val="single" w:sz="8" w:space="0" w:color="A3A3A3"/>
              <w:right w:val="single" w:sz="8" w:space="0" w:color="A3A3A3"/>
            </w:tcBorders>
            <w:shd w:val="clear" w:color="auto" w:fill="auto"/>
            <w:vAlign w:val="center"/>
            <w:hideMark/>
          </w:tcPr>
          <w:p w14:paraId="391FB986"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 xml:space="preserve">Shanghai Pudong International Airport </w:t>
            </w:r>
          </w:p>
        </w:tc>
        <w:tc>
          <w:tcPr>
            <w:tcW w:w="1800" w:type="dxa"/>
            <w:tcBorders>
              <w:top w:val="nil"/>
              <w:left w:val="nil"/>
              <w:bottom w:val="single" w:sz="8" w:space="0" w:color="A3A3A3"/>
              <w:right w:val="single" w:sz="8" w:space="0" w:color="A3A3A3"/>
            </w:tcBorders>
            <w:shd w:val="clear" w:color="auto" w:fill="auto"/>
            <w:vAlign w:val="center"/>
            <w:hideMark/>
          </w:tcPr>
          <w:p w14:paraId="111D2060"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China</w:t>
            </w:r>
          </w:p>
        </w:tc>
        <w:tc>
          <w:tcPr>
            <w:tcW w:w="1440" w:type="dxa"/>
            <w:tcBorders>
              <w:top w:val="nil"/>
              <w:left w:val="nil"/>
              <w:bottom w:val="single" w:sz="8" w:space="0" w:color="A3A3A3"/>
              <w:right w:val="single" w:sz="8" w:space="0" w:color="A3A3A3"/>
            </w:tcBorders>
            <w:shd w:val="clear" w:color="auto" w:fill="auto"/>
            <w:vAlign w:val="center"/>
            <w:hideMark/>
          </w:tcPr>
          <w:p w14:paraId="256FBC6C"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21.84N</w:t>
            </w:r>
          </w:p>
        </w:tc>
        <w:tc>
          <w:tcPr>
            <w:tcW w:w="1800" w:type="dxa"/>
            <w:tcBorders>
              <w:top w:val="nil"/>
              <w:left w:val="nil"/>
              <w:bottom w:val="single" w:sz="8" w:space="0" w:color="A3A3A3"/>
              <w:right w:val="single" w:sz="8" w:space="0" w:color="A3A3A3"/>
            </w:tcBorders>
            <w:shd w:val="clear" w:color="auto" w:fill="auto"/>
            <w:vAlign w:val="center"/>
            <w:hideMark/>
          </w:tcPr>
          <w:p w14:paraId="4A9C41E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7.2</w:t>
            </w:r>
          </w:p>
        </w:tc>
      </w:tr>
      <w:tr w:rsidR="00E65980" w:rsidRPr="00E65980" w14:paraId="3BD718BA" w14:textId="77777777" w:rsidTr="00936BF4">
        <w:trPr>
          <w:trHeight w:val="52"/>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67257BC8"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8</w:t>
            </w:r>
          </w:p>
        </w:tc>
        <w:tc>
          <w:tcPr>
            <w:tcW w:w="3870" w:type="dxa"/>
            <w:tcBorders>
              <w:top w:val="nil"/>
              <w:left w:val="nil"/>
              <w:bottom w:val="single" w:sz="8" w:space="0" w:color="A3A3A3"/>
              <w:right w:val="single" w:sz="8" w:space="0" w:color="A3A3A3"/>
            </w:tcBorders>
            <w:shd w:val="clear" w:color="auto" w:fill="auto"/>
            <w:vAlign w:val="center"/>
            <w:hideMark/>
          </w:tcPr>
          <w:p w14:paraId="240A8911"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Cairo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433909BF"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Egypt</w:t>
            </w:r>
          </w:p>
        </w:tc>
        <w:tc>
          <w:tcPr>
            <w:tcW w:w="1440" w:type="dxa"/>
            <w:tcBorders>
              <w:top w:val="nil"/>
              <w:left w:val="nil"/>
              <w:bottom w:val="single" w:sz="8" w:space="0" w:color="A3A3A3"/>
              <w:right w:val="single" w:sz="8" w:space="0" w:color="A3A3A3"/>
            </w:tcBorders>
            <w:shd w:val="clear" w:color="auto" w:fill="auto"/>
            <w:vAlign w:val="center"/>
            <w:hideMark/>
          </w:tcPr>
          <w:p w14:paraId="7E37C38B"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27.26N</w:t>
            </w:r>
          </w:p>
        </w:tc>
        <w:tc>
          <w:tcPr>
            <w:tcW w:w="1800" w:type="dxa"/>
            <w:tcBorders>
              <w:top w:val="nil"/>
              <w:left w:val="nil"/>
              <w:bottom w:val="single" w:sz="8" w:space="0" w:color="A3A3A3"/>
              <w:right w:val="single" w:sz="8" w:space="0" w:color="A3A3A3"/>
            </w:tcBorders>
            <w:shd w:val="clear" w:color="auto" w:fill="auto"/>
            <w:vAlign w:val="center"/>
            <w:hideMark/>
          </w:tcPr>
          <w:p w14:paraId="3C559F90"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6.7</w:t>
            </w:r>
          </w:p>
        </w:tc>
      </w:tr>
      <w:tr w:rsidR="00E65980" w:rsidRPr="00E65980" w14:paraId="3C9CD2B4"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45DC6100"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9</w:t>
            </w:r>
          </w:p>
        </w:tc>
        <w:tc>
          <w:tcPr>
            <w:tcW w:w="3870" w:type="dxa"/>
            <w:tcBorders>
              <w:top w:val="nil"/>
              <w:left w:val="nil"/>
              <w:bottom w:val="single" w:sz="8" w:space="0" w:color="A3A3A3"/>
              <w:right w:val="single" w:sz="8" w:space="0" w:color="A3A3A3"/>
            </w:tcBorders>
            <w:shd w:val="clear" w:color="auto" w:fill="auto"/>
            <w:vAlign w:val="center"/>
            <w:hideMark/>
          </w:tcPr>
          <w:p w14:paraId="32821724"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Suvarnabhumi Airport</w:t>
            </w:r>
          </w:p>
        </w:tc>
        <w:tc>
          <w:tcPr>
            <w:tcW w:w="1800" w:type="dxa"/>
            <w:tcBorders>
              <w:top w:val="nil"/>
              <w:left w:val="nil"/>
              <w:bottom w:val="single" w:sz="8" w:space="0" w:color="A3A3A3"/>
              <w:right w:val="single" w:sz="8" w:space="0" w:color="A3A3A3"/>
            </w:tcBorders>
            <w:shd w:val="clear" w:color="auto" w:fill="auto"/>
            <w:vAlign w:val="center"/>
            <w:hideMark/>
          </w:tcPr>
          <w:p w14:paraId="43BE8743"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Thailand</w:t>
            </w:r>
          </w:p>
        </w:tc>
        <w:tc>
          <w:tcPr>
            <w:tcW w:w="1440" w:type="dxa"/>
            <w:tcBorders>
              <w:top w:val="nil"/>
              <w:left w:val="nil"/>
              <w:bottom w:val="single" w:sz="8" w:space="0" w:color="A3A3A3"/>
              <w:right w:val="single" w:sz="8" w:space="0" w:color="A3A3A3"/>
            </w:tcBorders>
            <w:shd w:val="clear" w:color="auto" w:fill="auto"/>
            <w:vAlign w:val="center"/>
            <w:hideMark/>
          </w:tcPr>
          <w:p w14:paraId="7F57DE3E"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4.25N</w:t>
            </w:r>
          </w:p>
        </w:tc>
        <w:tc>
          <w:tcPr>
            <w:tcW w:w="1800" w:type="dxa"/>
            <w:tcBorders>
              <w:top w:val="nil"/>
              <w:left w:val="nil"/>
              <w:bottom w:val="single" w:sz="8" w:space="0" w:color="A3A3A3"/>
              <w:right w:val="single" w:sz="8" w:space="0" w:color="A3A3A3"/>
            </w:tcBorders>
            <w:shd w:val="clear" w:color="auto" w:fill="auto"/>
            <w:vAlign w:val="center"/>
            <w:hideMark/>
          </w:tcPr>
          <w:p w14:paraId="68F5E69C"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5.2</w:t>
            </w:r>
          </w:p>
        </w:tc>
      </w:tr>
      <w:tr w:rsidR="00E65980" w:rsidRPr="00E65980" w14:paraId="6D22220B"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674C09AC"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lastRenderedPageBreak/>
              <w:t>10</w:t>
            </w:r>
          </w:p>
        </w:tc>
        <w:tc>
          <w:tcPr>
            <w:tcW w:w="3870" w:type="dxa"/>
            <w:tcBorders>
              <w:top w:val="nil"/>
              <w:left w:val="nil"/>
              <w:bottom w:val="single" w:sz="8" w:space="0" w:color="A3A3A3"/>
              <w:right w:val="single" w:sz="8" w:space="0" w:color="A3A3A3"/>
            </w:tcBorders>
            <w:shd w:val="clear" w:color="auto" w:fill="auto"/>
            <w:vAlign w:val="center"/>
            <w:hideMark/>
          </w:tcPr>
          <w:p w14:paraId="6B1BF3DB"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Paris Charles de Gaulle Airport</w:t>
            </w:r>
          </w:p>
        </w:tc>
        <w:tc>
          <w:tcPr>
            <w:tcW w:w="1800" w:type="dxa"/>
            <w:tcBorders>
              <w:top w:val="nil"/>
              <w:left w:val="nil"/>
              <w:bottom w:val="single" w:sz="8" w:space="0" w:color="A3A3A3"/>
              <w:right w:val="single" w:sz="8" w:space="0" w:color="A3A3A3"/>
            </w:tcBorders>
            <w:shd w:val="clear" w:color="auto" w:fill="auto"/>
            <w:vAlign w:val="center"/>
            <w:hideMark/>
          </w:tcPr>
          <w:p w14:paraId="2A6719BD"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France</w:t>
            </w:r>
          </w:p>
        </w:tc>
        <w:tc>
          <w:tcPr>
            <w:tcW w:w="1440" w:type="dxa"/>
            <w:tcBorders>
              <w:top w:val="nil"/>
              <w:left w:val="nil"/>
              <w:bottom w:val="single" w:sz="8" w:space="0" w:color="A3A3A3"/>
              <w:right w:val="single" w:sz="8" w:space="0" w:color="A3A3A3"/>
            </w:tcBorders>
            <w:shd w:val="clear" w:color="auto" w:fill="auto"/>
            <w:vAlign w:val="center"/>
            <w:hideMark/>
          </w:tcPr>
          <w:p w14:paraId="505320D4"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50.36N</w:t>
            </w:r>
          </w:p>
        </w:tc>
        <w:tc>
          <w:tcPr>
            <w:tcW w:w="1800" w:type="dxa"/>
            <w:tcBorders>
              <w:top w:val="nil"/>
              <w:left w:val="nil"/>
              <w:bottom w:val="single" w:sz="8" w:space="0" w:color="A3A3A3"/>
              <w:right w:val="single" w:sz="8" w:space="0" w:color="A3A3A3"/>
            </w:tcBorders>
            <w:shd w:val="clear" w:color="auto" w:fill="auto"/>
            <w:vAlign w:val="center"/>
            <w:hideMark/>
          </w:tcPr>
          <w:p w14:paraId="201F558F"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7.1</w:t>
            </w:r>
          </w:p>
        </w:tc>
      </w:tr>
      <w:tr w:rsidR="00E65980" w:rsidRPr="00E65980" w14:paraId="78F39611"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5180EAB1"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11</w:t>
            </w:r>
          </w:p>
        </w:tc>
        <w:tc>
          <w:tcPr>
            <w:tcW w:w="3870" w:type="dxa"/>
            <w:tcBorders>
              <w:top w:val="nil"/>
              <w:left w:val="nil"/>
              <w:bottom w:val="single" w:sz="8" w:space="0" w:color="A3A3A3"/>
              <w:right w:val="single" w:sz="8" w:space="0" w:color="A3A3A3"/>
            </w:tcBorders>
            <w:shd w:val="clear" w:color="auto" w:fill="auto"/>
            <w:vAlign w:val="center"/>
            <w:hideMark/>
          </w:tcPr>
          <w:p w14:paraId="59B87B51"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Madrid Barajas Airport</w:t>
            </w:r>
          </w:p>
        </w:tc>
        <w:tc>
          <w:tcPr>
            <w:tcW w:w="1800" w:type="dxa"/>
            <w:tcBorders>
              <w:top w:val="nil"/>
              <w:left w:val="nil"/>
              <w:bottom w:val="single" w:sz="8" w:space="0" w:color="A3A3A3"/>
              <w:right w:val="single" w:sz="8" w:space="0" w:color="A3A3A3"/>
            </w:tcBorders>
            <w:shd w:val="clear" w:color="auto" w:fill="auto"/>
            <w:vAlign w:val="center"/>
            <w:hideMark/>
          </w:tcPr>
          <w:p w14:paraId="155FA54D"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Spain</w:t>
            </w:r>
          </w:p>
        </w:tc>
        <w:tc>
          <w:tcPr>
            <w:tcW w:w="1440" w:type="dxa"/>
            <w:tcBorders>
              <w:top w:val="nil"/>
              <w:left w:val="nil"/>
              <w:bottom w:val="single" w:sz="8" w:space="0" w:color="A3A3A3"/>
              <w:right w:val="single" w:sz="8" w:space="0" w:color="A3A3A3"/>
            </w:tcBorders>
            <w:shd w:val="clear" w:color="auto" w:fill="auto"/>
            <w:vAlign w:val="center"/>
            <w:hideMark/>
          </w:tcPr>
          <w:p w14:paraId="11552A68"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41.90N</w:t>
            </w:r>
          </w:p>
        </w:tc>
        <w:tc>
          <w:tcPr>
            <w:tcW w:w="1800" w:type="dxa"/>
            <w:tcBorders>
              <w:top w:val="nil"/>
              <w:left w:val="nil"/>
              <w:bottom w:val="single" w:sz="8" w:space="0" w:color="A3A3A3"/>
              <w:right w:val="single" w:sz="8" w:space="0" w:color="A3A3A3"/>
            </w:tcBorders>
            <w:shd w:val="clear" w:color="auto" w:fill="auto"/>
            <w:vAlign w:val="center"/>
            <w:hideMark/>
          </w:tcPr>
          <w:p w14:paraId="0B488A70"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7.2</w:t>
            </w:r>
          </w:p>
        </w:tc>
      </w:tr>
      <w:tr w:rsidR="00E65980" w:rsidRPr="00E65980" w14:paraId="0D01EC0F"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33D110E6"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12</w:t>
            </w:r>
          </w:p>
        </w:tc>
        <w:tc>
          <w:tcPr>
            <w:tcW w:w="3870" w:type="dxa"/>
            <w:tcBorders>
              <w:top w:val="nil"/>
              <w:left w:val="nil"/>
              <w:bottom w:val="single" w:sz="8" w:space="0" w:color="A3A3A3"/>
              <w:right w:val="single" w:sz="8" w:space="0" w:color="A3A3A3"/>
            </w:tcBorders>
            <w:shd w:val="clear" w:color="auto" w:fill="auto"/>
            <w:vAlign w:val="center"/>
            <w:hideMark/>
          </w:tcPr>
          <w:p w14:paraId="768211CE"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O'Hare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76F20C43"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3ECD4D11"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32.84N</w:t>
            </w:r>
          </w:p>
        </w:tc>
        <w:tc>
          <w:tcPr>
            <w:tcW w:w="1800" w:type="dxa"/>
            <w:tcBorders>
              <w:top w:val="nil"/>
              <w:left w:val="nil"/>
              <w:bottom w:val="single" w:sz="8" w:space="0" w:color="A3A3A3"/>
              <w:right w:val="single" w:sz="8" w:space="0" w:color="A3A3A3"/>
            </w:tcBorders>
            <w:shd w:val="clear" w:color="auto" w:fill="auto"/>
            <w:vAlign w:val="center"/>
            <w:hideMark/>
          </w:tcPr>
          <w:p w14:paraId="65126036"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5.9</w:t>
            </w:r>
          </w:p>
        </w:tc>
      </w:tr>
      <w:tr w:rsidR="00E65980" w:rsidRPr="00E65980" w14:paraId="26BF0381"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1DC9B944"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13</w:t>
            </w:r>
          </w:p>
        </w:tc>
        <w:tc>
          <w:tcPr>
            <w:tcW w:w="3870" w:type="dxa"/>
            <w:tcBorders>
              <w:top w:val="nil"/>
              <w:left w:val="nil"/>
              <w:bottom w:val="single" w:sz="8" w:space="0" w:color="A3A3A3"/>
              <w:right w:val="single" w:sz="8" w:space="0" w:color="A3A3A3"/>
            </w:tcBorders>
            <w:shd w:val="clear" w:color="auto" w:fill="auto"/>
            <w:vAlign w:val="center"/>
            <w:hideMark/>
          </w:tcPr>
          <w:p w14:paraId="5ED539EC"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Salt Lake City International Airport</w:t>
            </w:r>
          </w:p>
        </w:tc>
        <w:tc>
          <w:tcPr>
            <w:tcW w:w="1800" w:type="dxa"/>
            <w:tcBorders>
              <w:top w:val="nil"/>
              <w:left w:val="nil"/>
              <w:bottom w:val="single" w:sz="8" w:space="0" w:color="A3A3A3"/>
              <w:right w:val="single" w:sz="8" w:space="0" w:color="A3A3A3"/>
            </w:tcBorders>
            <w:shd w:val="clear" w:color="auto" w:fill="auto"/>
            <w:vAlign w:val="center"/>
            <w:hideMark/>
          </w:tcPr>
          <w:p w14:paraId="351BF2DE"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United States</w:t>
            </w:r>
          </w:p>
        </w:tc>
        <w:tc>
          <w:tcPr>
            <w:tcW w:w="1440" w:type="dxa"/>
            <w:tcBorders>
              <w:top w:val="nil"/>
              <w:left w:val="nil"/>
              <w:bottom w:val="single" w:sz="8" w:space="0" w:color="A3A3A3"/>
              <w:right w:val="single" w:sz="8" w:space="0" w:color="A3A3A3"/>
            </w:tcBorders>
            <w:shd w:val="clear" w:color="auto" w:fill="auto"/>
            <w:vAlign w:val="center"/>
            <w:hideMark/>
          </w:tcPr>
          <w:p w14:paraId="0C410A37"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47.56N</w:t>
            </w:r>
          </w:p>
        </w:tc>
        <w:tc>
          <w:tcPr>
            <w:tcW w:w="1800" w:type="dxa"/>
            <w:tcBorders>
              <w:top w:val="nil"/>
              <w:left w:val="nil"/>
              <w:bottom w:val="single" w:sz="8" w:space="0" w:color="A3A3A3"/>
              <w:right w:val="single" w:sz="8" w:space="0" w:color="A3A3A3"/>
            </w:tcBorders>
            <w:shd w:val="clear" w:color="auto" w:fill="auto"/>
            <w:vAlign w:val="center"/>
            <w:hideMark/>
          </w:tcPr>
          <w:p w14:paraId="3631921C"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4.9</w:t>
            </w:r>
          </w:p>
        </w:tc>
      </w:tr>
      <w:tr w:rsidR="00E65980" w:rsidRPr="00E65980" w14:paraId="48E83863" w14:textId="77777777" w:rsidTr="00936BF4">
        <w:trPr>
          <w:trHeight w:val="44"/>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08F642B5"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14</w:t>
            </w:r>
          </w:p>
        </w:tc>
        <w:tc>
          <w:tcPr>
            <w:tcW w:w="3870" w:type="dxa"/>
            <w:tcBorders>
              <w:top w:val="nil"/>
              <w:left w:val="nil"/>
              <w:bottom w:val="single" w:sz="8" w:space="0" w:color="A3A3A3"/>
              <w:right w:val="single" w:sz="8" w:space="0" w:color="A3A3A3"/>
            </w:tcBorders>
            <w:shd w:val="clear" w:color="auto" w:fill="auto"/>
            <w:vAlign w:val="center"/>
            <w:hideMark/>
          </w:tcPr>
          <w:p w14:paraId="6A69E13C"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Amsterdam Airport Schiphol</w:t>
            </w:r>
          </w:p>
        </w:tc>
        <w:tc>
          <w:tcPr>
            <w:tcW w:w="1800" w:type="dxa"/>
            <w:tcBorders>
              <w:top w:val="nil"/>
              <w:left w:val="nil"/>
              <w:bottom w:val="single" w:sz="8" w:space="0" w:color="A3A3A3"/>
              <w:right w:val="single" w:sz="8" w:space="0" w:color="A3A3A3"/>
            </w:tcBorders>
            <w:shd w:val="clear" w:color="auto" w:fill="auto"/>
            <w:vAlign w:val="center"/>
            <w:hideMark/>
          </w:tcPr>
          <w:p w14:paraId="7AF29F92"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The Netherlands</w:t>
            </w:r>
          </w:p>
        </w:tc>
        <w:tc>
          <w:tcPr>
            <w:tcW w:w="1440" w:type="dxa"/>
            <w:tcBorders>
              <w:top w:val="nil"/>
              <w:left w:val="nil"/>
              <w:bottom w:val="single" w:sz="8" w:space="0" w:color="A3A3A3"/>
              <w:right w:val="single" w:sz="8" w:space="0" w:color="A3A3A3"/>
            </w:tcBorders>
            <w:shd w:val="clear" w:color="auto" w:fill="auto"/>
            <w:vAlign w:val="center"/>
            <w:hideMark/>
          </w:tcPr>
          <w:p w14:paraId="48E0B001"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53.18N</w:t>
            </w:r>
          </w:p>
        </w:tc>
        <w:tc>
          <w:tcPr>
            <w:tcW w:w="1800" w:type="dxa"/>
            <w:tcBorders>
              <w:top w:val="nil"/>
              <w:left w:val="nil"/>
              <w:bottom w:val="single" w:sz="8" w:space="0" w:color="A3A3A3"/>
              <w:right w:val="single" w:sz="8" w:space="0" w:color="A3A3A3"/>
            </w:tcBorders>
            <w:shd w:val="clear" w:color="auto" w:fill="auto"/>
            <w:vAlign w:val="center"/>
            <w:hideMark/>
          </w:tcPr>
          <w:p w14:paraId="6ECCFBE3"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8.9</w:t>
            </w:r>
          </w:p>
        </w:tc>
      </w:tr>
      <w:tr w:rsidR="00E65980" w:rsidRPr="00E65980" w14:paraId="6B39D37C" w14:textId="77777777" w:rsidTr="00936BF4">
        <w:trPr>
          <w:trHeight w:val="300"/>
        </w:trPr>
        <w:tc>
          <w:tcPr>
            <w:tcW w:w="440" w:type="dxa"/>
            <w:tcBorders>
              <w:top w:val="nil"/>
              <w:left w:val="single" w:sz="8" w:space="0" w:color="A3A3A3"/>
              <w:bottom w:val="single" w:sz="8" w:space="0" w:color="A3A3A3"/>
              <w:right w:val="single" w:sz="8" w:space="0" w:color="A3A3A3"/>
            </w:tcBorders>
            <w:shd w:val="clear" w:color="auto" w:fill="auto"/>
            <w:vAlign w:val="center"/>
            <w:hideMark/>
          </w:tcPr>
          <w:p w14:paraId="0FC810CC" w14:textId="77777777" w:rsidR="00E65980" w:rsidRPr="00E65980" w:rsidRDefault="00E65980" w:rsidP="00E65980">
            <w:pPr>
              <w:autoSpaceDE/>
              <w:autoSpaceDN/>
              <w:adjustRightInd/>
              <w:jc w:val="right"/>
              <w:rPr>
                <w:rFonts w:ascii="Calibri" w:hAnsi="Calibri" w:cs="Calibri"/>
                <w:szCs w:val="22"/>
                <w:lang w:val="en-US"/>
              </w:rPr>
            </w:pPr>
            <w:r w:rsidRPr="00E65980">
              <w:rPr>
                <w:rFonts w:ascii="Calibri" w:hAnsi="Calibri" w:cs="Calibri"/>
                <w:szCs w:val="22"/>
                <w:lang w:val="en-US"/>
              </w:rPr>
              <w:t>15</w:t>
            </w:r>
          </w:p>
        </w:tc>
        <w:tc>
          <w:tcPr>
            <w:tcW w:w="3870" w:type="dxa"/>
            <w:tcBorders>
              <w:top w:val="nil"/>
              <w:left w:val="nil"/>
              <w:bottom w:val="single" w:sz="8" w:space="0" w:color="A3A3A3"/>
              <w:right w:val="single" w:sz="8" w:space="0" w:color="A3A3A3"/>
            </w:tcBorders>
            <w:shd w:val="clear" w:color="auto" w:fill="auto"/>
            <w:vAlign w:val="center"/>
            <w:hideMark/>
          </w:tcPr>
          <w:p w14:paraId="09392BFE" w14:textId="77777777" w:rsidR="00E65980" w:rsidRPr="00E65980" w:rsidRDefault="00E65980" w:rsidP="00E65980">
            <w:pPr>
              <w:autoSpaceDE/>
              <w:autoSpaceDN/>
              <w:adjustRightInd/>
              <w:jc w:val="left"/>
              <w:rPr>
                <w:rFonts w:ascii="Calibri" w:hAnsi="Calibri" w:cs="Calibri"/>
                <w:szCs w:val="22"/>
                <w:lang w:val="en-US"/>
              </w:rPr>
            </w:pPr>
            <w:r w:rsidRPr="00E65980">
              <w:rPr>
                <w:rFonts w:ascii="Calibri" w:hAnsi="Calibri" w:cs="Calibri"/>
                <w:szCs w:val="22"/>
                <w:lang w:val="en-US"/>
              </w:rPr>
              <w:t>Frankfurt Airport</w:t>
            </w:r>
          </w:p>
        </w:tc>
        <w:tc>
          <w:tcPr>
            <w:tcW w:w="1800" w:type="dxa"/>
            <w:tcBorders>
              <w:top w:val="nil"/>
              <w:left w:val="nil"/>
              <w:bottom w:val="single" w:sz="8" w:space="0" w:color="A3A3A3"/>
              <w:right w:val="single" w:sz="8" w:space="0" w:color="A3A3A3"/>
            </w:tcBorders>
            <w:shd w:val="clear" w:color="auto" w:fill="auto"/>
            <w:vAlign w:val="center"/>
            <w:hideMark/>
          </w:tcPr>
          <w:p w14:paraId="7159667E"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Germany</w:t>
            </w:r>
          </w:p>
        </w:tc>
        <w:tc>
          <w:tcPr>
            <w:tcW w:w="1440" w:type="dxa"/>
            <w:tcBorders>
              <w:top w:val="nil"/>
              <w:left w:val="nil"/>
              <w:bottom w:val="single" w:sz="8" w:space="0" w:color="A3A3A3"/>
              <w:right w:val="single" w:sz="8" w:space="0" w:color="A3A3A3"/>
            </w:tcBorders>
            <w:shd w:val="clear" w:color="auto" w:fill="auto"/>
            <w:vAlign w:val="center"/>
            <w:hideMark/>
          </w:tcPr>
          <w:p w14:paraId="0DBDEAF5"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50.36N</w:t>
            </w:r>
          </w:p>
        </w:tc>
        <w:tc>
          <w:tcPr>
            <w:tcW w:w="1800" w:type="dxa"/>
            <w:tcBorders>
              <w:top w:val="nil"/>
              <w:left w:val="nil"/>
              <w:bottom w:val="single" w:sz="8" w:space="0" w:color="A3A3A3"/>
              <w:right w:val="single" w:sz="8" w:space="0" w:color="A3A3A3"/>
            </w:tcBorders>
            <w:shd w:val="clear" w:color="auto" w:fill="auto"/>
            <w:vAlign w:val="center"/>
            <w:hideMark/>
          </w:tcPr>
          <w:p w14:paraId="49EB8428" w14:textId="77777777" w:rsidR="00E65980" w:rsidRPr="00E65980" w:rsidRDefault="00E65980" w:rsidP="00936BF4">
            <w:pPr>
              <w:autoSpaceDE/>
              <w:autoSpaceDN/>
              <w:adjustRightInd/>
              <w:jc w:val="center"/>
              <w:rPr>
                <w:rFonts w:ascii="Calibri" w:hAnsi="Calibri" w:cs="Calibri"/>
                <w:szCs w:val="22"/>
                <w:lang w:val="en-US"/>
              </w:rPr>
            </w:pPr>
            <w:r w:rsidRPr="00E65980">
              <w:rPr>
                <w:rFonts w:ascii="Calibri" w:hAnsi="Calibri" w:cs="Calibri"/>
                <w:szCs w:val="22"/>
                <w:lang w:val="en-US"/>
              </w:rPr>
              <w:t>6.4</w:t>
            </w:r>
          </w:p>
        </w:tc>
      </w:tr>
    </w:tbl>
    <w:p w14:paraId="03A8ED60" w14:textId="4FFE7985" w:rsidR="00EE0814" w:rsidRDefault="00EE0814" w:rsidP="00936BF4">
      <w:pPr>
        <w:pStyle w:val="2Para"/>
        <w:numPr>
          <w:ilvl w:val="0"/>
          <w:numId w:val="0"/>
        </w:numPr>
        <w:ind w:left="284"/>
        <w:rPr>
          <w:b/>
          <w:color w:val="000000" w:themeColor="text1"/>
        </w:rPr>
      </w:pPr>
    </w:p>
    <w:p w14:paraId="48590081" w14:textId="77777777" w:rsidR="00EE0814" w:rsidRDefault="00EE0814" w:rsidP="00EE0814">
      <w:pPr>
        <w:pStyle w:val="2Para"/>
        <w:rPr>
          <w:b/>
          <w:color w:val="000000" w:themeColor="text1"/>
        </w:rPr>
      </w:pPr>
      <w:r>
        <w:rPr>
          <w:b/>
          <w:color w:val="000000" w:themeColor="text1"/>
        </w:rPr>
        <w:t>Sensitivity of Availability of GAST D versus E</w:t>
      </w:r>
      <w:r w:rsidRPr="00FF427E">
        <w:rPr>
          <w:b/>
          <w:color w:val="000000" w:themeColor="text1"/>
          <w:vertAlign w:val="subscript"/>
        </w:rPr>
        <w:t>IG</w:t>
      </w:r>
      <w:r>
        <w:rPr>
          <w:b/>
          <w:color w:val="000000" w:themeColor="text1"/>
        </w:rPr>
        <w:t>.</w:t>
      </w:r>
    </w:p>
    <w:p w14:paraId="76FFA48F" w14:textId="668D7CF2" w:rsidR="00EE0814" w:rsidRDefault="00567BAF" w:rsidP="00936BF4">
      <w:pPr>
        <w:pStyle w:val="2Para"/>
        <w:numPr>
          <w:ilvl w:val="0"/>
          <w:numId w:val="0"/>
        </w:numPr>
        <w:rPr>
          <w:color w:val="000000" w:themeColor="text1"/>
        </w:rPr>
      </w:pPr>
      <w:r>
        <w:rPr>
          <w:color w:val="000000" w:themeColor="text1"/>
        </w:rPr>
        <w:t>Given that there is a significant sensitivity of E</w:t>
      </w:r>
      <w:r w:rsidRPr="00936BF4">
        <w:rPr>
          <w:color w:val="000000" w:themeColor="text1"/>
          <w:vertAlign w:val="subscript"/>
        </w:rPr>
        <w:t>IG</w:t>
      </w:r>
      <w:r>
        <w:rPr>
          <w:color w:val="000000" w:themeColor="text1"/>
        </w:rPr>
        <w:t xml:space="preserve"> to the ionosphere threat model, as well as to the LTP distance for a given threat model, the sensitivity of GAST D availability to an increased E</w:t>
      </w:r>
      <w:r w:rsidRPr="00936BF4">
        <w:rPr>
          <w:color w:val="000000" w:themeColor="text1"/>
          <w:vertAlign w:val="subscript"/>
        </w:rPr>
        <w:t>IG</w:t>
      </w:r>
      <w:r w:rsidR="00740EFA">
        <w:rPr>
          <w:color w:val="000000" w:themeColor="text1"/>
        </w:rPr>
        <w:t xml:space="preserve"> must be validated.</w:t>
      </w:r>
    </w:p>
    <w:p w14:paraId="400F04CA" w14:textId="007EF567" w:rsidR="00102E19" w:rsidRDefault="00740EFA" w:rsidP="00936BF4">
      <w:pPr>
        <w:pStyle w:val="2Para"/>
        <w:numPr>
          <w:ilvl w:val="0"/>
          <w:numId w:val="0"/>
        </w:numPr>
        <w:rPr>
          <w:color w:val="000000" w:themeColor="text1"/>
        </w:rPr>
      </w:pPr>
      <w:r>
        <w:rPr>
          <w:color w:val="000000" w:themeColor="text1"/>
        </w:rPr>
        <w:t xml:space="preserve">An availability analysis was performed for GAST D, </w:t>
      </w:r>
      <w:r w:rsidR="00102E19">
        <w:rPr>
          <w:color w:val="000000" w:themeColor="text1"/>
        </w:rPr>
        <w:t>varying E</w:t>
      </w:r>
      <w:r w:rsidR="00102E19" w:rsidRPr="00936BF4">
        <w:rPr>
          <w:color w:val="000000" w:themeColor="text1"/>
          <w:vertAlign w:val="subscript"/>
        </w:rPr>
        <w:t>IG</w:t>
      </w:r>
      <w:r w:rsidR="00102E19">
        <w:rPr>
          <w:color w:val="000000" w:themeColor="text1"/>
        </w:rPr>
        <w:t xml:space="preserve"> and the airborne geometry screening parameter </w:t>
      </w:r>
      <w:r w:rsidR="00824369">
        <w:rPr>
          <w:color w:val="000000" w:themeColor="text1"/>
        </w:rPr>
        <w:t>max</w:t>
      </w:r>
      <w:r w:rsidR="00102E19">
        <w:rPr>
          <w:color w:val="000000" w:themeColor="text1"/>
        </w:rPr>
        <w:t>E</w:t>
      </w:r>
      <w:r w:rsidR="00102E19" w:rsidRPr="00936BF4">
        <w:rPr>
          <w:color w:val="000000" w:themeColor="text1"/>
          <w:vertAlign w:val="subscript"/>
        </w:rPr>
        <w:t>V</w:t>
      </w:r>
      <w:r w:rsidR="00102E19">
        <w:rPr>
          <w:color w:val="000000" w:themeColor="text1"/>
        </w:rPr>
        <w:t xml:space="preserve">.  </w:t>
      </w:r>
      <w:r w:rsidR="00824369">
        <w:rPr>
          <w:color w:val="000000" w:themeColor="text1"/>
        </w:rPr>
        <w:t>max</w:t>
      </w:r>
      <w:r w:rsidR="00102E19">
        <w:rPr>
          <w:color w:val="000000" w:themeColor="text1"/>
        </w:rPr>
        <w:t>E</w:t>
      </w:r>
      <w:r w:rsidR="00102E19" w:rsidRPr="00936BF4">
        <w:rPr>
          <w:color w:val="000000" w:themeColor="text1"/>
          <w:vertAlign w:val="subscript"/>
        </w:rPr>
        <w:t>V</w:t>
      </w:r>
      <w:r w:rsidR="00102E19">
        <w:rPr>
          <w:color w:val="000000" w:themeColor="text1"/>
        </w:rPr>
        <w:t xml:space="preserve"> is the maximum allowable vertical error that an aircraft automatic landing system may be demonstrated to meet all airworthiness criteria for successful landing</w:t>
      </w:r>
      <w:r w:rsidR="00824369">
        <w:rPr>
          <w:color w:val="000000" w:themeColor="text1"/>
        </w:rPr>
        <w:t>, which is ensured regardless of the E</w:t>
      </w:r>
      <w:r w:rsidR="00824369" w:rsidRPr="00936BF4">
        <w:rPr>
          <w:color w:val="000000" w:themeColor="text1"/>
          <w:vertAlign w:val="subscript"/>
        </w:rPr>
        <w:t>IG</w:t>
      </w:r>
      <w:r w:rsidR="00824369">
        <w:rPr>
          <w:color w:val="000000" w:themeColor="text1"/>
        </w:rPr>
        <w:t xml:space="preserve"> value through satellite geometry screening in the airborne receiver</w:t>
      </w:r>
      <w:r w:rsidR="00102E19">
        <w:rPr>
          <w:color w:val="000000" w:themeColor="text1"/>
        </w:rPr>
        <w:t>.  An analogous limit in the lateral exists but has a negligible impact on availability</w:t>
      </w:r>
      <w:r w:rsidR="009223D6">
        <w:rPr>
          <w:color w:val="000000" w:themeColor="text1"/>
        </w:rPr>
        <w:t xml:space="preserve"> for the same limit as the vertical</w:t>
      </w:r>
      <w:r w:rsidR="00102E19">
        <w:rPr>
          <w:color w:val="000000" w:themeColor="text1"/>
        </w:rPr>
        <w:t>.  The analysis also shows that the availability of protection levels less than the</w:t>
      </w:r>
      <w:r w:rsidR="00824369">
        <w:rPr>
          <w:color w:val="000000" w:themeColor="text1"/>
        </w:rPr>
        <w:t>ir</w:t>
      </w:r>
      <w:r w:rsidR="00102E19">
        <w:rPr>
          <w:color w:val="000000" w:themeColor="text1"/>
        </w:rPr>
        <w:t xml:space="preserve"> alert limit</w:t>
      </w:r>
      <w:r w:rsidR="00824369">
        <w:rPr>
          <w:color w:val="000000" w:themeColor="text1"/>
        </w:rPr>
        <w:t>s</w:t>
      </w:r>
      <w:r w:rsidR="00102E19">
        <w:rPr>
          <w:color w:val="000000" w:themeColor="text1"/>
        </w:rPr>
        <w:t xml:space="preserve"> is also negligible as E</w:t>
      </w:r>
      <w:r w:rsidR="00102E19" w:rsidRPr="00936BF4">
        <w:rPr>
          <w:color w:val="000000" w:themeColor="text1"/>
          <w:vertAlign w:val="subscript"/>
        </w:rPr>
        <w:t>IG</w:t>
      </w:r>
      <w:r w:rsidR="00102E19">
        <w:rPr>
          <w:color w:val="000000" w:themeColor="text1"/>
        </w:rPr>
        <w:t xml:space="preserve"> and </w:t>
      </w:r>
      <w:r w:rsidR="00824369">
        <w:rPr>
          <w:color w:val="000000" w:themeColor="text1"/>
        </w:rPr>
        <w:t>max</w:t>
      </w:r>
      <w:r w:rsidR="00102E19">
        <w:rPr>
          <w:color w:val="000000" w:themeColor="text1"/>
        </w:rPr>
        <w:t>E</w:t>
      </w:r>
      <w:r w:rsidR="00102E19" w:rsidRPr="00936BF4">
        <w:rPr>
          <w:color w:val="000000" w:themeColor="text1"/>
          <w:vertAlign w:val="subscript"/>
        </w:rPr>
        <w:t>V</w:t>
      </w:r>
      <w:r w:rsidR="00102E19">
        <w:rPr>
          <w:color w:val="000000" w:themeColor="text1"/>
        </w:rPr>
        <w:t xml:space="preserve"> are varied.  D</w:t>
      </w:r>
      <w:r>
        <w:rPr>
          <w:color w:val="000000" w:themeColor="text1"/>
        </w:rPr>
        <w:t xml:space="preserve">etails </w:t>
      </w:r>
      <w:r w:rsidR="00102E19">
        <w:rPr>
          <w:color w:val="000000" w:themeColor="text1"/>
        </w:rPr>
        <w:t xml:space="preserve">of the analysis and assumptions are </w:t>
      </w:r>
      <w:r>
        <w:rPr>
          <w:color w:val="000000" w:themeColor="text1"/>
        </w:rPr>
        <w:t>provided i</w:t>
      </w:r>
      <w:r w:rsidR="00102E19">
        <w:rPr>
          <w:color w:val="000000" w:themeColor="text1"/>
        </w:rPr>
        <w:t>n an attachment to this paper.</w:t>
      </w:r>
    </w:p>
    <w:p w14:paraId="6BEF40A8" w14:textId="5F425AAE" w:rsidR="00102E19" w:rsidRDefault="00102E19" w:rsidP="00936BF4">
      <w:pPr>
        <w:pStyle w:val="2Para"/>
        <w:keepNext/>
        <w:numPr>
          <w:ilvl w:val="0"/>
          <w:numId w:val="0"/>
        </w:numPr>
        <w:spacing w:before="0" w:after="0"/>
        <w:jc w:val="left"/>
      </w:pPr>
      <w:r>
        <w:rPr>
          <w:color w:val="000000" w:themeColor="text1"/>
        </w:rPr>
        <w:t>Figure 2</w:t>
      </w:r>
      <w:r w:rsidR="00740EFA">
        <w:rPr>
          <w:color w:val="000000" w:themeColor="text1"/>
        </w:rPr>
        <w:t xml:space="preserve"> shows results from that analysis</w:t>
      </w:r>
      <w:r>
        <w:rPr>
          <w:color w:val="000000" w:themeColor="text1"/>
        </w:rPr>
        <w:t xml:space="preserve"> in the form of global availability maps for varying E</w:t>
      </w:r>
      <w:r w:rsidRPr="00936BF4">
        <w:rPr>
          <w:color w:val="000000" w:themeColor="text1"/>
          <w:vertAlign w:val="subscript"/>
        </w:rPr>
        <w:t>IG</w:t>
      </w:r>
      <w:r>
        <w:rPr>
          <w:color w:val="000000" w:themeColor="text1"/>
        </w:rPr>
        <w:t xml:space="preserve"> and </w:t>
      </w:r>
      <w:r w:rsidR="00824369">
        <w:rPr>
          <w:color w:val="000000" w:themeColor="text1"/>
        </w:rPr>
        <w:t>max</w:t>
      </w:r>
      <w:r>
        <w:rPr>
          <w:color w:val="000000" w:themeColor="text1"/>
        </w:rPr>
        <w:t>E</w:t>
      </w:r>
      <w:r w:rsidRPr="00936BF4">
        <w:rPr>
          <w:color w:val="000000" w:themeColor="text1"/>
          <w:vertAlign w:val="subscript"/>
        </w:rPr>
        <w:t>V</w:t>
      </w:r>
      <w:r>
        <w:rPr>
          <w:color w:val="000000" w:themeColor="text1"/>
        </w:rPr>
        <w:t xml:space="preserve">.  These maps assume today’s </w:t>
      </w:r>
      <w:r w:rsidR="00EF4698">
        <w:rPr>
          <w:color w:val="000000" w:themeColor="text1"/>
        </w:rPr>
        <w:t xml:space="preserve">31-satellite </w:t>
      </w:r>
      <w:r>
        <w:rPr>
          <w:color w:val="000000" w:themeColor="text1"/>
        </w:rPr>
        <w:t xml:space="preserve">constellation with every combination of up to 3 satellites removed </w:t>
      </w:r>
      <w:r w:rsidR="00824369">
        <w:rPr>
          <w:color w:val="000000" w:themeColor="text1"/>
        </w:rPr>
        <w:t>with probabilities as follows, c</w:t>
      </w:r>
      <w:r w:rsidR="00EF4698">
        <w:rPr>
          <w:color w:val="000000" w:themeColor="text1"/>
        </w:rPr>
        <w:t>alled RTCA Probabilities: 1-out</w:t>
      </w:r>
      <w:r w:rsidR="00824369">
        <w:rPr>
          <w:color w:val="000000" w:themeColor="text1"/>
        </w:rPr>
        <w:t>=3%, 2-out=1.2%, and 3</w:t>
      </w:r>
      <w:r w:rsidR="00EF4698">
        <w:rPr>
          <w:color w:val="000000" w:themeColor="text1"/>
        </w:rPr>
        <w:noBreakHyphen/>
      </w:r>
      <w:r w:rsidR="00824369">
        <w:rPr>
          <w:color w:val="000000" w:themeColor="text1"/>
        </w:rPr>
        <w:t>out=0.8%.  Any color on the map indicates less than 99.9% availability for that location with these assumptions.</w:t>
      </w:r>
      <w:r w:rsidR="00063FE3" w:rsidRPr="004E0109">
        <w:rPr>
          <w:color w:val="000000" w:themeColor="text1"/>
          <w:lang w:val="en-US"/>
        </w:rPr>
        <w:t xml:space="preserve"> </w:t>
      </w:r>
      <w:r w:rsidRPr="00102E19">
        <w:rPr>
          <w:color w:val="000000" w:themeColor="text1"/>
          <w:lang w:val="en-US"/>
        </w:rPr>
        <w:drawing>
          <wp:inline distT="0" distB="0" distL="0" distR="0" wp14:anchorId="3F2E05FB" wp14:editId="13D9B68F">
            <wp:extent cx="5943600" cy="33591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5943600" cy="3359150"/>
                    </a:xfrm>
                    <a:prstGeom prst="rect">
                      <a:avLst/>
                    </a:prstGeom>
                  </pic:spPr>
                </pic:pic>
              </a:graphicData>
            </a:graphic>
          </wp:inline>
        </w:drawing>
      </w:r>
    </w:p>
    <w:p w14:paraId="7BA1504B" w14:textId="77942B32" w:rsidR="00962173" w:rsidRPr="004E0109" w:rsidRDefault="00102E19" w:rsidP="00936BF4">
      <w:pPr>
        <w:pStyle w:val="Caption"/>
        <w:jc w:val="center"/>
        <w:rPr>
          <w:color w:val="000000" w:themeColor="text1"/>
          <w:lang w:val="en-US"/>
        </w:rPr>
      </w:pPr>
      <w:r>
        <w:t xml:space="preserve">Figure </w:t>
      </w:r>
      <w:r>
        <w:fldChar w:fldCharType="begin"/>
      </w:r>
      <w:r>
        <w:instrText xml:space="preserve"> SEQ Figure \* ARABIC </w:instrText>
      </w:r>
      <w:r>
        <w:fldChar w:fldCharType="separate"/>
      </w:r>
      <w:r w:rsidR="005725A2">
        <w:rPr>
          <w:noProof/>
        </w:rPr>
        <w:t>2</w:t>
      </w:r>
      <w:r>
        <w:fldChar w:fldCharType="end"/>
      </w:r>
      <w:r>
        <w:t>: Current Availability of GAST D versus E</w:t>
      </w:r>
      <w:r w:rsidRPr="00936BF4">
        <w:rPr>
          <w:vertAlign w:val="subscript"/>
        </w:rPr>
        <w:t>V</w:t>
      </w:r>
      <w:r>
        <w:t xml:space="preserve"> and E</w:t>
      </w:r>
      <w:r w:rsidRPr="00936BF4">
        <w:rPr>
          <w:vertAlign w:val="subscript"/>
        </w:rPr>
        <w:t>IG</w:t>
      </w:r>
    </w:p>
    <w:p w14:paraId="76924341" w14:textId="4805FDB7" w:rsidR="008E093B" w:rsidRDefault="00824369" w:rsidP="00962173">
      <w:pPr>
        <w:pStyle w:val="2Para"/>
        <w:numPr>
          <w:ilvl w:val="0"/>
          <w:numId w:val="0"/>
        </w:numPr>
        <w:rPr>
          <w:lang w:val="en-US"/>
        </w:rPr>
      </w:pPr>
      <w:r>
        <w:rPr>
          <w:lang w:val="en-US"/>
        </w:rPr>
        <w:lastRenderedPageBreak/>
        <w:t>With the exception of a few high latitude locations, 99.9% availability is achieved for maxE</w:t>
      </w:r>
      <w:r w:rsidRPr="00936BF4">
        <w:rPr>
          <w:vertAlign w:val="subscript"/>
          <w:lang w:val="en-US"/>
        </w:rPr>
        <w:t>V</w:t>
      </w:r>
      <w:r>
        <w:rPr>
          <w:lang w:val="en-US"/>
        </w:rPr>
        <w:t xml:space="preserve"> greater than 10 meters and E</w:t>
      </w:r>
      <w:r w:rsidRPr="00936BF4">
        <w:rPr>
          <w:vertAlign w:val="subscript"/>
          <w:lang w:val="en-US"/>
        </w:rPr>
        <w:t>IG</w:t>
      </w:r>
      <w:r>
        <w:rPr>
          <w:lang w:val="en-US"/>
        </w:rPr>
        <w:t xml:space="preserve"> less than 2.75 meters.  For maxE</w:t>
      </w:r>
      <w:r w:rsidRPr="00936BF4">
        <w:rPr>
          <w:vertAlign w:val="subscript"/>
          <w:lang w:val="en-US"/>
        </w:rPr>
        <w:t>V</w:t>
      </w:r>
      <w:r>
        <w:rPr>
          <w:lang w:val="en-US"/>
        </w:rPr>
        <w:t xml:space="preserve"> smaller than 10 meters, availability is significantly reduced, regardless of E</w:t>
      </w:r>
      <w:r w:rsidRPr="00936BF4">
        <w:rPr>
          <w:vertAlign w:val="subscript"/>
          <w:lang w:val="en-US"/>
        </w:rPr>
        <w:t>IG</w:t>
      </w:r>
      <w:r>
        <w:rPr>
          <w:lang w:val="en-US"/>
        </w:rPr>
        <w:t>, while E</w:t>
      </w:r>
      <w:r w:rsidRPr="00936BF4">
        <w:rPr>
          <w:vertAlign w:val="subscript"/>
          <w:lang w:val="en-US"/>
        </w:rPr>
        <w:t>IG</w:t>
      </w:r>
      <w:r>
        <w:rPr>
          <w:lang w:val="en-US"/>
        </w:rPr>
        <w:t xml:space="preserve"> greater than 2.75 meters has a more gradual impact, and E</w:t>
      </w:r>
      <w:r w:rsidRPr="00936BF4">
        <w:rPr>
          <w:vertAlign w:val="subscript"/>
          <w:lang w:val="en-US"/>
        </w:rPr>
        <w:t>IG</w:t>
      </w:r>
      <w:r>
        <w:rPr>
          <w:lang w:val="en-US"/>
        </w:rPr>
        <w:t xml:space="preserve"> as high as 3.5 meters is demonstrated to achieve more than 99.9% availability for a large portion of the world.</w:t>
      </w:r>
    </w:p>
    <w:p w14:paraId="6B5A7765" w14:textId="455FB087" w:rsidR="00EF4698" w:rsidRDefault="00EF4698" w:rsidP="00962173">
      <w:pPr>
        <w:pStyle w:val="2Para"/>
        <w:numPr>
          <w:ilvl w:val="0"/>
          <w:numId w:val="0"/>
        </w:numPr>
        <w:rPr>
          <w:lang w:val="en-US"/>
        </w:rPr>
      </w:pPr>
      <w:r>
        <w:rPr>
          <w:lang w:val="en-US"/>
        </w:rPr>
        <w:t>Figure 3 shows a slight reduction in availability but similar results for the expanded 27-slot GPS configuration using the same satellite outage probabilities, rather than using the full 31- satellite constellation enjoyed today.</w:t>
      </w:r>
      <w:r w:rsidR="003F216E">
        <w:rPr>
          <w:lang w:val="en-US"/>
        </w:rPr>
        <w:t xml:space="preserve">  For E</w:t>
      </w:r>
      <w:r w:rsidR="003F216E" w:rsidRPr="00936BF4">
        <w:rPr>
          <w:vertAlign w:val="subscript"/>
          <w:lang w:val="en-US"/>
        </w:rPr>
        <w:t>IG</w:t>
      </w:r>
      <w:r w:rsidR="003F216E">
        <w:rPr>
          <w:lang w:val="en-US"/>
        </w:rPr>
        <w:t xml:space="preserve"> up to 2.75 meters and maxE</w:t>
      </w:r>
      <w:r w:rsidR="003F216E" w:rsidRPr="00936BF4">
        <w:rPr>
          <w:vertAlign w:val="subscript"/>
          <w:lang w:val="en-US"/>
        </w:rPr>
        <w:t>V</w:t>
      </w:r>
      <w:r w:rsidR="003F216E">
        <w:rPr>
          <w:lang w:val="en-US"/>
        </w:rPr>
        <w:t xml:space="preserve"> 10 meters or greater, global availability exceeds 99.9% in most places.  For maxE</w:t>
      </w:r>
      <w:r w:rsidR="003F216E" w:rsidRPr="00936BF4">
        <w:rPr>
          <w:vertAlign w:val="subscript"/>
          <w:lang w:val="en-US"/>
        </w:rPr>
        <w:t>V</w:t>
      </w:r>
      <w:r w:rsidR="003F216E">
        <w:rPr>
          <w:lang w:val="en-US"/>
        </w:rPr>
        <w:t xml:space="preserve"> less than 10 meters, even for EIG less than 2.75 meters, the availability is much lower in much of the world.</w:t>
      </w:r>
    </w:p>
    <w:p w14:paraId="6A38383C" w14:textId="77777777" w:rsidR="005725A2" w:rsidRDefault="00EF4698" w:rsidP="00936BF4">
      <w:pPr>
        <w:pStyle w:val="2Para"/>
        <w:keepNext/>
        <w:numPr>
          <w:ilvl w:val="0"/>
          <w:numId w:val="0"/>
        </w:numPr>
        <w:jc w:val="center"/>
      </w:pPr>
      <w:r w:rsidRPr="00EF4698">
        <w:rPr>
          <w:lang w:val="en-US"/>
        </w:rPr>
        <w:drawing>
          <wp:inline distT="0" distB="0" distL="0" distR="0" wp14:anchorId="32AD3F4B" wp14:editId="4B22196C">
            <wp:extent cx="5943600" cy="33591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943600" cy="3359150"/>
                    </a:xfrm>
                    <a:prstGeom prst="rect">
                      <a:avLst/>
                    </a:prstGeom>
                  </pic:spPr>
                </pic:pic>
              </a:graphicData>
            </a:graphic>
          </wp:inline>
        </w:drawing>
      </w:r>
    </w:p>
    <w:p w14:paraId="08A35B80" w14:textId="7FDFE529" w:rsidR="00EF4698" w:rsidRDefault="005725A2" w:rsidP="00936BF4">
      <w:pPr>
        <w:pStyle w:val="Caption"/>
        <w:jc w:val="center"/>
        <w:rPr>
          <w:lang w:val="en-US"/>
        </w:rPr>
      </w:pPr>
      <w:r>
        <w:t xml:space="preserve">Figure </w:t>
      </w:r>
      <w:r>
        <w:fldChar w:fldCharType="begin"/>
      </w:r>
      <w:r>
        <w:instrText xml:space="preserve"> SEQ Figure \* ARABIC </w:instrText>
      </w:r>
      <w:r>
        <w:fldChar w:fldCharType="separate"/>
      </w:r>
      <w:r>
        <w:rPr>
          <w:noProof/>
        </w:rPr>
        <w:t>3</w:t>
      </w:r>
      <w:r>
        <w:fldChar w:fldCharType="end"/>
      </w:r>
      <w:r>
        <w:t>: 27-Slot GPS Configuration</w:t>
      </w:r>
      <w:r w:rsidRPr="006B32F8">
        <w:t xml:space="preserve"> Availability of GAST D versus EV and EIG</w:t>
      </w:r>
    </w:p>
    <w:p w14:paraId="38482900" w14:textId="121EE2F4" w:rsidR="009223D6" w:rsidRDefault="009223D6" w:rsidP="00962173">
      <w:pPr>
        <w:pStyle w:val="2Para"/>
        <w:numPr>
          <w:ilvl w:val="0"/>
          <w:numId w:val="0"/>
        </w:numPr>
        <w:rPr>
          <w:lang w:val="en-US"/>
        </w:rPr>
      </w:pPr>
      <w:r>
        <w:rPr>
          <w:lang w:val="en-US"/>
        </w:rPr>
        <w:t>These results indicate that for E</w:t>
      </w:r>
      <w:r w:rsidRPr="00936BF4">
        <w:rPr>
          <w:vertAlign w:val="subscript"/>
          <w:lang w:val="en-US"/>
        </w:rPr>
        <w:t>IG</w:t>
      </w:r>
      <w:r>
        <w:rPr>
          <w:lang w:val="en-US"/>
        </w:rPr>
        <w:t xml:space="preserve"> up to 2.75 and airborne geometry screening parameters E</w:t>
      </w:r>
      <w:r w:rsidRPr="00936BF4">
        <w:rPr>
          <w:vertAlign w:val="subscript"/>
          <w:lang w:val="en-US"/>
        </w:rPr>
        <w:t>V</w:t>
      </w:r>
      <w:r>
        <w:rPr>
          <w:lang w:val="en-US"/>
        </w:rPr>
        <w:t xml:space="preserve"> and E</w:t>
      </w:r>
      <w:r w:rsidRPr="00936BF4">
        <w:rPr>
          <w:vertAlign w:val="subscript"/>
          <w:lang w:val="en-US"/>
        </w:rPr>
        <w:t>L</w:t>
      </w:r>
      <w:r>
        <w:rPr>
          <w:lang w:val="en-US"/>
        </w:rPr>
        <w:t xml:space="preserve"> greater than or equal to 10 meters availability of 99.9% is achieved almost everywhere.  This indicates that GAST D availability prediction may not be needed for most of the world unless the GPS constellation is reduced to a 24-slot configuration.  </w:t>
      </w:r>
    </w:p>
    <w:p w14:paraId="09975AA4" w14:textId="5691104D" w:rsidR="009223D6" w:rsidRDefault="009223D6" w:rsidP="00962173">
      <w:pPr>
        <w:pStyle w:val="2Para"/>
        <w:numPr>
          <w:ilvl w:val="0"/>
          <w:numId w:val="0"/>
        </w:numPr>
        <w:rPr>
          <w:lang w:val="en-US"/>
        </w:rPr>
      </w:pPr>
      <w:r>
        <w:rPr>
          <w:lang w:val="en-US"/>
        </w:rPr>
        <w:t>The results also indicate that many locations could support 99.9% availability with E</w:t>
      </w:r>
      <w:r w:rsidRPr="00936BF4">
        <w:rPr>
          <w:vertAlign w:val="subscript"/>
          <w:lang w:val="en-US"/>
        </w:rPr>
        <w:t>IG</w:t>
      </w:r>
      <w:r>
        <w:rPr>
          <w:lang w:val="en-US"/>
        </w:rPr>
        <w:t xml:space="preserve"> greater than 2.75, even as high as 3.5 meters or more</w:t>
      </w:r>
      <w:r w:rsidR="00F473FB">
        <w:rPr>
          <w:lang w:val="en-US"/>
        </w:rPr>
        <w:t>, although the constellation assumptions and airborne geometry screening begin to limit availability in some locations.</w:t>
      </w:r>
    </w:p>
    <w:p w14:paraId="7F1A47D6" w14:textId="1E4742EA" w:rsidR="005725A2" w:rsidRDefault="009223D6" w:rsidP="00962173">
      <w:pPr>
        <w:pStyle w:val="2Para"/>
        <w:numPr>
          <w:ilvl w:val="0"/>
          <w:numId w:val="0"/>
        </w:numPr>
        <w:rPr>
          <w:lang w:val="en-US"/>
        </w:rPr>
      </w:pPr>
      <w:r>
        <w:rPr>
          <w:lang w:val="en-US"/>
        </w:rPr>
        <w:t>Even with the current limit on E</w:t>
      </w:r>
      <w:r w:rsidRPr="00936BF4">
        <w:rPr>
          <w:vertAlign w:val="subscript"/>
          <w:lang w:val="en-US"/>
        </w:rPr>
        <w:t>IG</w:t>
      </w:r>
      <w:r>
        <w:rPr>
          <w:lang w:val="en-US"/>
        </w:rPr>
        <w:t xml:space="preserve"> of 2.75 meters, if an airborne manufacturer requires E</w:t>
      </w:r>
      <w:r w:rsidRPr="00936BF4">
        <w:rPr>
          <w:vertAlign w:val="subscript"/>
          <w:lang w:val="en-US"/>
        </w:rPr>
        <w:t>V</w:t>
      </w:r>
      <w:r>
        <w:rPr>
          <w:lang w:val="en-US"/>
        </w:rPr>
        <w:t xml:space="preserve"> and E</w:t>
      </w:r>
      <w:r w:rsidRPr="00936BF4">
        <w:rPr>
          <w:vertAlign w:val="subscript"/>
          <w:lang w:val="en-US"/>
        </w:rPr>
        <w:t>L</w:t>
      </w:r>
      <w:r>
        <w:rPr>
          <w:lang w:val="en-US"/>
        </w:rPr>
        <w:t xml:space="preserve"> less than 10 meters, then the availability will be significantly impacted and the airborne operator should be required to predict their availability, regardless of E</w:t>
      </w:r>
      <w:r w:rsidRPr="00936BF4">
        <w:rPr>
          <w:vertAlign w:val="subscript"/>
          <w:lang w:val="en-US"/>
        </w:rPr>
        <w:t>IG</w:t>
      </w:r>
      <w:r>
        <w:rPr>
          <w:lang w:val="en-US"/>
        </w:rPr>
        <w:t>.  Such a requirement would allow an air navigation service provider to assume a minimum E</w:t>
      </w:r>
      <w:r w:rsidRPr="00936BF4">
        <w:rPr>
          <w:vertAlign w:val="subscript"/>
          <w:lang w:val="en-US"/>
        </w:rPr>
        <w:t>V</w:t>
      </w:r>
      <w:r>
        <w:rPr>
          <w:lang w:val="en-US"/>
        </w:rPr>
        <w:t xml:space="preserve"> and E</w:t>
      </w:r>
      <w:r w:rsidRPr="00936BF4">
        <w:rPr>
          <w:vertAlign w:val="subscript"/>
          <w:lang w:val="en-US"/>
        </w:rPr>
        <w:t>L</w:t>
      </w:r>
      <w:r>
        <w:rPr>
          <w:lang w:val="en-US"/>
        </w:rPr>
        <w:t xml:space="preserve"> in predictions of availability </w:t>
      </w:r>
      <w:r w:rsidR="00F473FB">
        <w:rPr>
          <w:lang w:val="en-US"/>
        </w:rPr>
        <w:t>for a particular GAST D approach to ensure availability.  This could allow E</w:t>
      </w:r>
      <w:r w:rsidR="00F473FB" w:rsidRPr="00936BF4">
        <w:rPr>
          <w:vertAlign w:val="subscript"/>
          <w:lang w:val="en-US"/>
        </w:rPr>
        <w:t>IG</w:t>
      </w:r>
      <w:r w:rsidR="00F473FB">
        <w:rPr>
          <w:lang w:val="en-US"/>
        </w:rPr>
        <w:t xml:space="preserve"> much larger than 2.75 meters to have assured availability through the use of NOTAMs when the minimum assumed airborne user is considered since users below this minimum would have to assure their own availability for E</w:t>
      </w:r>
      <w:r w:rsidR="00F473FB" w:rsidRPr="00936BF4">
        <w:rPr>
          <w:vertAlign w:val="subscript"/>
          <w:lang w:val="en-US"/>
        </w:rPr>
        <w:t>IG</w:t>
      </w:r>
      <w:r w:rsidR="00F473FB">
        <w:rPr>
          <w:lang w:val="en-US"/>
        </w:rPr>
        <w:t xml:space="preserve"> regardless of the E</w:t>
      </w:r>
      <w:r w:rsidR="00F473FB" w:rsidRPr="00936BF4">
        <w:rPr>
          <w:vertAlign w:val="subscript"/>
          <w:lang w:val="en-US"/>
        </w:rPr>
        <w:t>IG</w:t>
      </w:r>
      <w:r w:rsidR="00F473FB">
        <w:rPr>
          <w:lang w:val="en-US"/>
        </w:rPr>
        <w:t xml:space="preserve"> for the approach.</w:t>
      </w:r>
    </w:p>
    <w:p w14:paraId="2E42DDD8" w14:textId="188F3138" w:rsidR="005725A2" w:rsidRDefault="00D61D06" w:rsidP="00962173">
      <w:pPr>
        <w:pStyle w:val="2Para"/>
        <w:numPr>
          <w:ilvl w:val="0"/>
          <w:numId w:val="0"/>
        </w:numPr>
        <w:rPr>
          <w:lang w:val="en-US"/>
        </w:rPr>
      </w:pPr>
      <w:r>
        <w:rPr>
          <w:lang w:val="en-US"/>
        </w:rPr>
        <w:lastRenderedPageBreak/>
        <w:t xml:space="preserve">While the constellation assumptions and simulation specifics may vary depending on the details of the GBAS installation and approach operation, and while the </w:t>
      </w:r>
      <w:r w:rsidR="00936BF4">
        <w:rPr>
          <w:lang w:val="en-US"/>
        </w:rPr>
        <w:t xml:space="preserve">specific </w:t>
      </w:r>
      <w:r>
        <w:rPr>
          <w:lang w:val="en-US"/>
        </w:rPr>
        <w:t>minimum airborne geometry screening limits that may require a u</w:t>
      </w:r>
      <w:r w:rsidR="00936BF4">
        <w:rPr>
          <w:lang w:val="en-US"/>
        </w:rPr>
        <w:t>ser prediction could be decided elsewhere</w:t>
      </w:r>
      <w:r>
        <w:rPr>
          <w:lang w:val="en-US"/>
        </w:rPr>
        <w:t>, these results indicate that there is a large amount of usable system availability that would be wasted if E</w:t>
      </w:r>
      <w:r w:rsidRPr="00936BF4">
        <w:rPr>
          <w:vertAlign w:val="subscript"/>
          <w:lang w:val="en-US"/>
        </w:rPr>
        <w:t>IG</w:t>
      </w:r>
      <w:r>
        <w:rPr>
          <w:lang w:val="en-US"/>
        </w:rPr>
        <w:t xml:space="preserve"> were to continue being limited to 2.75 meters</w:t>
      </w:r>
      <w:r w:rsidR="00936BF4">
        <w:rPr>
          <w:lang w:val="en-US"/>
        </w:rPr>
        <w:t>.</w:t>
      </w:r>
    </w:p>
    <w:p w14:paraId="1B2E53B7" w14:textId="77777777" w:rsidR="00936BF4" w:rsidRDefault="00936BF4" w:rsidP="00962173">
      <w:pPr>
        <w:pStyle w:val="2Para"/>
        <w:numPr>
          <w:ilvl w:val="0"/>
          <w:numId w:val="0"/>
        </w:numPr>
        <w:rPr>
          <w:lang w:val="en-US"/>
        </w:rPr>
      </w:pPr>
    </w:p>
    <w:p w14:paraId="5B4E4981" w14:textId="77777777" w:rsidR="00936BF4" w:rsidRDefault="00936BF4" w:rsidP="00962173">
      <w:pPr>
        <w:pStyle w:val="2Para"/>
        <w:numPr>
          <w:ilvl w:val="0"/>
          <w:numId w:val="0"/>
        </w:numPr>
        <w:rPr>
          <w:lang w:val="en-US"/>
        </w:rPr>
      </w:pPr>
    </w:p>
    <w:p w14:paraId="622789BF" w14:textId="77777777" w:rsidR="0041070A" w:rsidRPr="0041070A" w:rsidRDefault="0041070A" w:rsidP="00D65188">
      <w:pPr>
        <w:pStyle w:val="1Heading"/>
      </w:pPr>
      <w:r>
        <w:t xml:space="preserve">ACTION BY THE </w:t>
      </w:r>
      <w:r w:rsidR="00D65188">
        <w:t>meeting</w:t>
      </w:r>
    </w:p>
    <w:p w14:paraId="21DC6005" w14:textId="77777777" w:rsidR="00215A9D" w:rsidRDefault="00E52A56" w:rsidP="00D65188">
      <w:pPr>
        <w:pStyle w:val="2Para"/>
      </w:pPr>
      <w:r>
        <w:t xml:space="preserve">The </w:t>
      </w:r>
      <w:r w:rsidR="00D65188">
        <w:t>meeting</w:t>
      </w:r>
      <w:r>
        <w:t xml:space="preserve"> is invited to</w:t>
      </w:r>
      <w:r w:rsidR="00215A9D">
        <w:t>:</w:t>
      </w:r>
    </w:p>
    <w:p w14:paraId="1E5C6E6B" w14:textId="3213187F" w:rsidR="00A21DD9" w:rsidRDefault="00A21DD9" w:rsidP="00936BF4">
      <w:pPr>
        <w:pStyle w:val="2Para"/>
        <w:numPr>
          <w:ilvl w:val="0"/>
          <w:numId w:val="2"/>
        </w:numPr>
      </w:pPr>
      <w:r>
        <w:t>Review the contents of this paper</w:t>
      </w:r>
    </w:p>
    <w:p w14:paraId="5B04C71A" w14:textId="028401C4" w:rsidR="00A21DD9" w:rsidRDefault="00A21DD9" w:rsidP="00936BF4">
      <w:pPr>
        <w:pStyle w:val="2Para"/>
        <w:numPr>
          <w:ilvl w:val="0"/>
          <w:numId w:val="2"/>
        </w:numPr>
        <w:ind w:left="2160" w:hanging="360"/>
      </w:pPr>
      <w:r>
        <w:t xml:space="preserve">Consider </w:t>
      </w:r>
      <w:r w:rsidR="00824369">
        <w:t xml:space="preserve">this paper as validation material supporting the NSP/6-WP/08 proposal </w:t>
      </w:r>
      <w:r>
        <w:t xml:space="preserve">to update the requirement in ICAO Annex 10 Volume 1 Appendix B section 3.6.7.3.4 and </w:t>
      </w:r>
      <w:r w:rsidR="0001064E">
        <w:t xml:space="preserve">to </w:t>
      </w:r>
      <w:bookmarkStart w:id="21" w:name="_GoBack"/>
      <w:bookmarkEnd w:id="21"/>
      <w:r w:rsidR="0001064E">
        <w:t xml:space="preserve">also include </w:t>
      </w:r>
      <w:r>
        <w:t xml:space="preserve">associated guidance material in </w:t>
      </w:r>
      <w:r w:rsidR="0001064E">
        <w:t>Attachment D</w:t>
      </w:r>
      <w:r>
        <w:t xml:space="preserve"> in an upcoming amendment. </w:t>
      </w:r>
    </w:p>
    <w:p w14:paraId="61570E2E" w14:textId="77777777" w:rsidR="000445A7" w:rsidRDefault="000445A7" w:rsidP="000445A7">
      <w:pPr>
        <w:pStyle w:val="2Para"/>
        <w:numPr>
          <w:ilvl w:val="0"/>
          <w:numId w:val="0"/>
        </w:numPr>
        <w:ind w:left="1800"/>
      </w:pPr>
    </w:p>
    <w:p w14:paraId="63C7DD77" w14:textId="77777777" w:rsidR="00B3411E" w:rsidRDefault="00975A68" w:rsidP="00DA46AE">
      <w:pPr>
        <w:pStyle w:val="2Para"/>
        <w:numPr>
          <w:ilvl w:val="0"/>
          <w:numId w:val="0"/>
        </w:numPr>
      </w:pPr>
      <w:r>
        <w:tab/>
      </w:r>
      <w:r w:rsidR="00B3411E">
        <w:t>— END —</w:t>
      </w:r>
    </w:p>
    <w:sectPr w:rsidR="00B3411E" w:rsidSect="00C44823">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fmt="numberInDash"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9E787" w16cid:durableId="22DE8050"/>
  <w16cid:commentId w16cid:paraId="6B133CDB" w16cid:durableId="22DE73BF"/>
  <w16cid:commentId w16cid:paraId="485FDC56" w16cid:durableId="22DE73C0"/>
  <w16cid:commentId w16cid:paraId="5B977CEA" w16cid:durableId="22DE73C1"/>
  <w16cid:commentId w16cid:paraId="285EBA99" w16cid:durableId="22DE8662"/>
  <w16cid:commentId w16cid:paraId="21F4443F" w16cid:durableId="22DE73C2"/>
  <w16cid:commentId w16cid:paraId="32EAF9EE" w16cid:durableId="22DE73C3"/>
  <w16cid:commentId w16cid:paraId="79A7683C" w16cid:durableId="22DE8B0A"/>
  <w16cid:commentId w16cid:paraId="1DAE270B" w16cid:durableId="22DF60EA"/>
  <w16cid:commentId w16cid:paraId="7B82FF84" w16cid:durableId="22DE73C4"/>
  <w16cid:commentId w16cid:paraId="41C66931" w16cid:durableId="22DF62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7468" w14:textId="77777777" w:rsidR="00C139E8" w:rsidRDefault="00C139E8">
      <w:r>
        <w:separator/>
      </w:r>
    </w:p>
  </w:endnote>
  <w:endnote w:type="continuationSeparator" w:id="0">
    <w:p w14:paraId="5FE14361" w14:textId="77777777" w:rsidR="00C139E8" w:rsidRDefault="00C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C07B" w14:textId="77777777" w:rsidR="006128A3" w:rsidRDefault="00612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C328" w14:textId="77777777" w:rsidR="006128A3" w:rsidRDefault="00612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C33C" w14:textId="77777777" w:rsidR="009223D6" w:rsidRPr="00E45FD9" w:rsidRDefault="009223D6" w:rsidP="00A93EDE">
    <w:pPr>
      <w:pStyle w:val="Footer"/>
      <w:tabs>
        <w:tab w:val="left" w:pos="720"/>
        <w:tab w:val="left" w:pos="1440"/>
        <w:tab w:val="left" w:pos="1800"/>
        <w:tab w:val="left" w:pos="2160"/>
        <w:tab w:val="left" w:pos="2520"/>
        <w:tab w:val="left" w:pos="2880"/>
      </w:tabs>
      <w:rPr>
        <w:sz w:val="18"/>
        <w:szCs w:val="18"/>
      </w:rPr>
    </w:pPr>
    <w:bookmarkStart w:id="24" w:name="office_footer"/>
    <w:bookmarkStart w:id="25" w:name="document_no_footer"/>
    <w:bookmarkStart w:id="26" w:name="text_footer"/>
    <w:bookmarkEnd w:id="24"/>
    <w:bookmarkEnd w:id="25"/>
    <w:bookmarkEnd w:id="2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21EC" w14:textId="77777777" w:rsidR="00C139E8" w:rsidRDefault="00C139E8">
      <w:r>
        <w:separator/>
      </w:r>
    </w:p>
  </w:footnote>
  <w:footnote w:type="continuationSeparator" w:id="0">
    <w:p w14:paraId="586396BC" w14:textId="77777777" w:rsidR="00C139E8" w:rsidRDefault="00C13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F994" w14:textId="77777777" w:rsidR="009223D6" w:rsidRDefault="009223D6"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6128A3">
      <w:rPr>
        <w:rStyle w:val="PageNumber"/>
        <w:noProof/>
        <w:szCs w:val="22"/>
      </w:rPr>
      <w:t>- 6 -</w:t>
    </w:r>
    <w:r>
      <w:rPr>
        <w:rStyle w:val="PageNumber"/>
      </w:rPr>
      <w:fldChar w:fldCharType="end"/>
    </w:r>
  </w:p>
  <w:p w14:paraId="6B097CFA" w14:textId="77777777" w:rsidR="009223D6" w:rsidRPr="005945C7" w:rsidRDefault="009223D6" w:rsidP="00D02F31">
    <w:pPr>
      <w:pStyle w:val="Header"/>
      <w:tabs>
        <w:tab w:val="left" w:pos="720"/>
        <w:tab w:val="left" w:pos="1440"/>
        <w:tab w:val="left" w:pos="1800"/>
        <w:tab w:val="left" w:pos="2160"/>
        <w:tab w:val="left" w:pos="2520"/>
        <w:tab w:val="left" w:pos="2880"/>
      </w:tabs>
    </w:pPr>
    <w:bookmarkStart w:id="22" w:name="related_to_header_even"/>
    <w:bookmarkStart w:id="23" w:name="addendum_corrigendum_header_even"/>
    <w:bookmarkEnd w:id="22"/>
    <w:bookmarkEnd w:id="2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E31B" w14:textId="77777777" w:rsidR="009223D6" w:rsidRPr="007307A8" w:rsidRDefault="009223D6"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6128A3">
      <w:rPr>
        <w:rStyle w:val="PageNumber"/>
        <w:noProof/>
        <w:szCs w:val="22"/>
      </w:rPr>
      <w:t>- 5 -</w:t>
    </w:r>
    <w:r>
      <w:rPr>
        <w:rStyle w:val="PageNumber"/>
      </w:rPr>
      <w:fldChar w:fldCharType="end"/>
    </w:r>
  </w:p>
  <w:p w14:paraId="5EF73383" w14:textId="77777777" w:rsidR="009223D6" w:rsidRPr="007307A8" w:rsidRDefault="009223D6" w:rsidP="005167F3">
    <w:pPr>
      <w:pStyle w:val="Header"/>
      <w:tabs>
        <w:tab w:val="center" w:pos="720"/>
        <w:tab w:val="center" w:pos="1440"/>
        <w:tab w:val="center" w:pos="1800"/>
        <w:tab w:val="center" w:pos="2160"/>
        <w:tab w:val="center" w:pos="2520"/>
        <w:tab w:val="center" w:pos="2880"/>
      </w:tabs>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D61E" w14:textId="77777777" w:rsidR="006128A3" w:rsidRDefault="00612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033BE"/>
    <w:multiLevelType w:val="hybridMultilevel"/>
    <w:tmpl w:val="9D52F9D4"/>
    <w:lvl w:ilvl="0" w:tplc="C382DBE2">
      <w:start w:val="1"/>
      <w:numFmt w:val="upperLetter"/>
      <w:pStyle w:val="Appendix-mjo"/>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C584E"/>
    <w:multiLevelType w:val="multilevel"/>
    <w:tmpl w:val="40D48C80"/>
    <w:lvl w:ilvl="0">
      <w:start w:val="350"/>
      <w:numFmt w:val="bullet"/>
      <w:lvlText w:val="-"/>
      <w:lvlJc w:val="left"/>
      <w:pPr>
        <w:ind w:left="0" w:firstLine="1800"/>
      </w:pPr>
      <w:rPr>
        <w:rFonts w:ascii="Times New Roman" w:eastAsia="Times New Roman" w:hAnsi="Times New Roman" w:cs="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15:restartNumberingAfterBreak="0">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5" w15:restartNumberingAfterBreak="0">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EED3475"/>
    <w:multiLevelType w:val="hybridMultilevel"/>
    <w:tmpl w:val="5C0A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1" w15:restartNumberingAfterBreak="0">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2" w15:restartNumberingAfterBreak="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4507E34"/>
    <w:multiLevelType w:val="hybridMultilevel"/>
    <w:tmpl w:val="66149EBC"/>
    <w:lvl w:ilvl="0" w:tplc="B5EC9E2A">
      <w:start w:val="1"/>
      <w:numFmt w:val="bullet"/>
      <w:lvlText w:val="■"/>
      <w:lvlJc w:val="left"/>
      <w:pPr>
        <w:tabs>
          <w:tab w:val="num" w:pos="720"/>
        </w:tabs>
        <w:ind w:left="720" w:hanging="360"/>
      </w:pPr>
      <w:rPr>
        <w:rFonts w:ascii="Times New Roman" w:hAnsi="Times New Roman" w:hint="default"/>
      </w:rPr>
    </w:lvl>
    <w:lvl w:ilvl="1" w:tplc="534C1674">
      <w:start w:val="29"/>
      <w:numFmt w:val="bullet"/>
      <w:lvlText w:val=""/>
      <w:lvlJc w:val="left"/>
      <w:pPr>
        <w:tabs>
          <w:tab w:val="num" w:pos="1440"/>
        </w:tabs>
        <w:ind w:left="1440" w:hanging="360"/>
      </w:pPr>
      <w:rPr>
        <w:rFonts w:ascii="Wingdings" w:hAnsi="Wingdings" w:hint="default"/>
      </w:rPr>
    </w:lvl>
    <w:lvl w:ilvl="2" w:tplc="C2F02876" w:tentative="1">
      <w:start w:val="1"/>
      <w:numFmt w:val="bullet"/>
      <w:lvlText w:val="■"/>
      <w:lvlJc w:val="left"/>
      <w:pPr>
        <w:tabs>
          <w:tab w:val="num" w:pos="2160"/>
        </w:tabs>
        <w:ind w:left="2160" w:hanging="360"/>
      </w:pPr>
      <w:rPr>
        <w:rFonts w:ascii="Times New Roman" w:hAnsi="Times New Roman" w:hint="default"/>
      </w:rPr>
    </w:lvl>
    <w:lvl w:ilvl="3" w:tplc="830CF07E" w:tentative="1">
      <w:start w:val="1"/>
      <w:numFmt w:val="bullet"/>
      <w:lvlText w:val="■"/>
      <w:lvlJc w:val="left"/>
      <w:pPr>
        <w:tabs>
          <w:tab w:val="num" w:pos="2880"/>
        </w:tabs>
        <w:ind w:left="2880" w:hanging="360"/>
      </w:pPr>
      <w:rPr>
        <w:rFonts w:ascii="Times New Roman" w:hAnsi="Times New Roman" w:hint="default"/>
      </w:rPr>
    </w:lvl>
    <w:lvl w:ilvl="4" w:tplc="CD862EAE" w:tentative="1">
      <w:start w:val="1"/>
      <w:numFmt w:val="bullet"/>
      <w:lvlText w:val="■"/>
      <w:lvlJc w:val="left"/>
      <w:pPr>
        <w:tabs>
          <w:tab w:val="num" w:pos="3600"/>
        </w:tabs>
        <w:ind w:left="3600" w:hanging="360"/>
      </w:pPr>
      <w:rPr>
        <w:rFonts w:ascii="Times New Roman" w:hAnsi="Times New Roman" w:hint="default"/>
      </w:rPr>
    </w:lvl>
    <w:lvl w:ilvl="5" w:tplc="54327E08" w:tentative="1">
      <w:start w:val="1"/>
      <w:numFmt w:val="bullet"/>
      <w:lvlText w:val="■"/>
      <w:lvlJc w:val="left"/>
      <w:pPr>
        <w:tabs>
          <w:tab w:val="num" w:pos="4320"/>
        </w:tabs>
        <w:ind w:left="4320" w:hanging="360"/>
      </w:pPr>
      <w:rPr>
        <w:rFonts w:ascii="Times New Roman" w:hAnsi="Times New Roman" w:hint="default"/>
      </w:rPr>
    </w:lvl>
    <w:lvl w:ilvl="6" w:tplc="66F41EDC" w:tentative="1">
      <w:start w:val="1"/>
      <w:numFmt w:val="bullet"/>
      <w:lvlText w:val="■"/>
      <w:lvlJc w:val="left"/>
      <w:pPr>
        <w:tabs>
          <w:tab w:val="num" w:pos="5040"/>
        </w:tabs>
        <w:ind w:left="5040" w:hanging="360"/>
      </w:pPr>
      <w:rPr>
        <w:rFonts w:ascii="Times New Roman" w:hAnsi="Times New Roman" w:hint="default"/>
      </w:rPr>
    </w:lvl>
    <w:lvl w:ilvl="7" w:tplc="37EE17FA" w:tentative="1">
      <w:start w:val="1"/>
      <w:numFmt w:val="bullet"/>
      <w:lvlText w:val="■"/>
      <w:lvlJc w:val="left"/>
      <w:pPr>
        <w:tabs>
          <w:tab w:val="num" w:pos="5760"/>
        </w:tabs>
        <w:ind w:left="5760" w:hanging="360"/>
      </w:pPr>
      <w:rPr>
        <w:rFonts w:ascii="Times New Roman" w:hAnsi="Times New Roman" w:hint="default"/>
      </w:rPr>
    </w:lvl>
    <w:lvl w:ilvl="8" w:tplc="3DF418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284"/>
        </w:tabs>
        <w:ind w:left="284"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9" w15:restartNumberingAfterBreak="0">
    <w:nsid w:val="4DB26B0A"/>
    <w:multiLevelType w:val="hybridMultilevel"/>
    <w:tmpl w:val="7FF0A02C"/>
    <w:lvl w:ilvl="0" w:tplc="5632163A">
      <w:start w:val="1"/>
      <w:numFmt w:val="bullet"/>
      <w:lvlText w:val="■"/>
      <w:lvlJc w:val="left"/>
      <w:pPr>
        <w:tabs>
          <w:tab w:val="num" w:pos="720"/>
        </w:tabs>
        <w:ind w:left="720" w:hanging="360"/>
      </w:pPr>
      <w:rPr>
        <w:rFonts w:ascii="Times New Roman" w:hAnsi="Times New Roman" w:hint="default"/>
      </w:rPr>
    </w:lvl>
    <w:lvl w:ilvl="1" w:tplc="FD5A13A8">
      <w:start w:val="29"/>
      <w:numFmt w:val="bullet"/>
      <w:lvlText w:val=""/>
      <w:lvlJc w:val="left"/>
      <w:pPr>
        <w:tabs>
          <w:tab w:val="num" w:pos="1440"/>
        </w:tabs>
        <w:ind w:left="1440" w:hanging="360"/>
      </w:pPr>
      <w:rPr>
        <w:rFonts w:ascii="Wingdings" w:hAnsi="Wingdings" w:hint="default"/>
      </w:rPr>
    </w:lvl>
    <w:lvl w:ilvl="2" w:tplc="8A44D1B2" w:tentative="1">
      <w:start w:val="1"/>
      <w:numFmt w:val="bullet"/>
      <w:lvlText w:val="■"/>
      <w:lvlJc w:val="left"/>
      <w:pPr>
        <w:tabs>
          <w:tab w:val="num" w:pos="2160"/>
        </w:tabs>
        <w:ind w:left="2160" w:hanging="360"/>
      </w:pPr>
      <w:rPr>
        <w:rFonts w:ascii="Times New Roman" w:hAnsi="Times New Roman" w:hint="default"/>
      </w:rPr>
    </w:lvl>
    <w:lvl w:ilvl="3" w:tplc="582050BA" w:tentative="1">
      <w:start w:val="1"/>
      <w:numFmt w:val="bullet"/>
      <w:lvlText w:val="■"/>
      <w:lvlJc w:val="left"/>
      <w:pPr>
        <w:tabs>
          <w:tab w:val="num" w:pos="2880"/>
        </w:tabs>
        <w:ind w:left="2880" w:hanging="360"/>
      </w:pPr>
      <w:rPr>
        <w:rFonts w:ascii="Times New Roman" w:hAnsi="Times New Roman" w:hint="default"/>
      </w:rPr>
    </w:lvl>
    <w:lvl w:ilvl="4" w:tplc="431630BA" w:tentative="1">
      <w:start w:val="1"/>
      <w:numFmt w:val="bullet"/>
      <w:lvlText w:val="■"/>
      <w:lvlJc w:val="left"/>
      <w:pPr>
        <w:tabs>
          <w:tab w:val="num" w:pos="3600"/>
        </w:tabs>
        <w:ind w:left="3600" w:hanging="360"/>
      </w:pPr>
      <w:rPr>
        <w:rFonts w:ascii="Times New Roman" w:hAnsi="Times New Roman" w:hint="default"/>
      </w:rPr>
    </w:lvl>
    <w:lvl w:ilvl="5" w:tplc="9A5087AA" w:tentative="1">
      <w:start w:val="1"/>
      <w:numFmt w:val="bullet"/>
      <w:lvlText w:val="■"/>
      <w:lvlJc w:val="left"/>
      <w:pPr>
        <w:tabs>
          <w:tab w:val="num" w:pos="4320"/>
        </w:tabs>
        <w:ind w:left="4320" w:hanging="360"/>
      </w:pPr>
      <w:rPr>
        <w:rFonts w:ascii="Times New Roman" w:hAnsi="Times New Roman" w:hint="default"/>
      </w:rPr>
    </w:lvl>
    <w:lvl w:ilvl="6" w:tplc="0CBE4842" w:tentative="1">
      <w:start w:val="1"/>
      <w:numFmt w:val="bullet"/>
      <w:lvlText w:val="■"/>
      <w:lvlJc w:val="left"/>
      <w:pPr>
        <w:tabs>
          <w:tab w:val="num" w:pos="5040"/>
        </w:tabs>
        <w:ind w:left="5040" w:hanging="360"/>
      </w:pPr>
      <w:rPr>
        <w:rFonts w:ascii="Times New Roman" w:hAnsi="Times New Roman" w:hint="default"/>
      </w:rPr>
    </w:lvl>
    <w:lvl w:ilvl="7" w:tplc="6EA06550" w:tentative="1">
      <w:start w:val="1"/>
      <w:numFmt w:val="bullet"/>
      <w:lvlText w:val="■"/>
      <w:lvlJc w:val="left"/>
      <w:pPr>
        <w:tabs>
          <w:tab w:val="num" w:pos="5760"/>
        </w:tabs>
        <w:ind w:left="5760" w:hanging="360"/>
      </w:pPr>
      <w:rPr>
        <w:rFonts w:ascii="Times New Roman" w:hAnsi="Times New Roman" w:hint="default"/>
      </w:rPr>
    </w:lvl>
    <w:lvl w:ilvl="8" w:tplc="22F206E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52532"/>
    <w:multiLevelType w:val="hybridMultilevel"/>
    <w:tmpl w:val="53EE6534"/>
    <w:lvl w:ilvl="0" w:tplc="7F16D252">
      <w:start w:val="350"/>
      <w:numFmt w:val="bullet"/>
      <w:lvlText w:val="-"/>
      <w:lvlJc w:val="left"/>
      <w:pPr>
        <w:ind w:left="420" w:hanging="360"/>
      </w:pPr>
      <w:rPr>
        <w:rFonts w:ascii="Times New Roman" w:eastAsia="Times New Roman"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22" w15:restartNumberingAfterBreak="0">
    <w:nsid w:val="50365FF1"/>
    <w:multiLevelType w:val="hybridMultilevel"/>
    <w:tmpl w:val="466E60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5" w15:restartNumberingAfterBreak="0">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4" w15:restartNumberingAfterBreak="0">
    <w:nsid w:val="76783B00"/>
    <w:multiLevelType w:val="hybridMultilevel"/>
    <w:tmpl w:val="70F8797A"/>
    <w:lvl w:ilvl="0" w:tplc="A08A4DE2">
      <w:start w:val="1"/>
      <w:numFmt w:val="bullet"/>
      <w:lvlText w:val="■"/>
      <w:lvlJc w:val="left"/>
      <w:pPr>
        <w:tabs>
          <w:tab w:val="num" w:pos="720"/>
        </w:tabs>
        <w:ind w:left="720" w:hanging="360"/>
      </w:pPr>
      <w:rPr>
        <w:rFonts w:ascii="Times New Roman" w:hAnsi="Times New Roman" w:hint="default"/>
      </w:rPr>
    </w:lvl>
    <w:lvl w:ilvl="1" w:tplc="26C24CAC">
      <w:start w:val="29"/>
      <w:numFmt w:val="bullet"/>
      <w:lvlText w:val=""/>
      <w:lvlJc w:val="left"/>
      <w:pPr>
        <w:tabs>
          <w:tab w:val="num" w:pos="1440"/>
        </w:tabs>
        <w:ind w:left="1440" w:hanging="360"/>
      </w:pPr>
      <w:rPr>
        <w:rFonts w:ascii="Wingdings" w:hAnsi="Wingdings" w:hint="default"/>
      </w:rPr>
    </w:lvl>
    <w:lvl w:ilvl="2" w:tplc="B870484E" w:tentative="1">
      <w:start w:val="1"/>
      <w:numFmt w:val="bullet"/>
      <w:lvlText w:val="■"/>
      <w:lvlJc w:val="left"/>
      <w:pPr>
        <w:tabs>
          <w:tab w:val="num" w:pos="2160"/>
        </w:tabs>
        <w:ind w:left="2160" w:hanging="360"/>
      </w:pPr>
      <w:rPr>
        <w:rFonts w:ascii="Times New Roman" w:hAnsi="Times New Roman" w:hint="default"/>
      </w:rPr>
    </w:lvl>
    <w:lvl w:ilvl="3" w:tplc="4252BBC4" w:tentative="1">
      <w:start w:val="1"/>
      <w:numFmt w:val="bullet"/>
      <w:lvlText w:val="■"/>
      <w:lvlJc w:val="left"/>
      <w:pPr>
        <w:tabs>
          <w:tab w:val="num" w:pos="2880"/>
        </w:tabs>
        <w:ind w:left="2880" w:hanging="360"/>
      </w:pPr>
      <w:rPr>
        <w:rFonts w:ascii="Times New Roman" w:hAnsi="Times New Roman" w:hint="default"/>
      </w:rPr>
    </w:lvl>
    <w:lvl w:ilvl="4" w:tplc="D48C8898" w:tentative="1">
      <w:start w:val="1"/>
      <w:numFmt w:val="bullet"/>
      <w:lvlText w:val="■"/>
      <w:lvlJc w:val="left"/>
      <w:pPr>
        <w:tabs>
          <w:tab w:val="num" w:pos="3600"/>
        </w:tabs>
        <w:ind w:left="3600" w:hanging="360"/>
      </w:pPr>
      <w:rPr>
        <w:rFonts w:ascii="Times New Roman" w:hAnsi="Times New Roman" w:hint="default"/>
      </w:rPr>
    </w:lvl>
    <w:lvl w:ilvl="5" w:tplc="B49A2E80" w:tentative="1">
      <w:start w:val="1"/>
      <w:numFmt w:val="bullet"/>
      <w:lvlText w:val="■"/>
      <w:lvlJc w:val="left"/>
      <w:pPr>
        <w:tabs>
          <w:tab w:val="num" w:pos="4320"/>
        </w:tabs>
        <w:ind w:left="4320" w:hanging="360"/>
      </w:pPr>
      <w:rPr>
        <w:rFonts w:ascii="Times New Roman" w:hAnsi="Times New Roman" w:hint="default"/>
      </w:rPr>
    </w:lvl>
    <w:lvl w:ilvl="6" w:tplc="6CE40252" w:tentative="1">
      <w:start w:val="1"/>
      <w:numFmt w:val="bullet"/>
      <w:lvlText w:val="■"/>
      <w:lvlJc w:val="left"/>
      <w:pPr>
        <w:tabs>
          <w:tab w:val="num" w:pos="5040"/>
        </w:tabs>
        <w:ind w:left="5040" w:hanging="360"/>
      </w:pPr>
      <w:rPr>
        <w:rFonts w:ascii="Times New Roman" w:hAnsi="Times New Roman" w:hint="default"/>
      </w:rPr>
    </w:lvl>
    <w:lvl w:ilvl="7" w:tplc="80B8A342" w:tentative="1">
      <w:start w:val="1"/>
      <w:numFmt w:val="bullet"/>
      <w:lvlText w:val="■"/>
      <w:lvlJc w:val="left"/>
      <w:pPr>
        <w:tabs>
          <w:tab w:val="num" w:pos="5760"/>
        </w:tabs>
        <w:ind w:left="5760" w:hanging="360"/>
      </w:pPr>
      <w:rPr>
        <w:rFonts w:ascii="Times New Roman" w:hAnsi="Times New Roman" w:hint="default"/>
      </w:rPr>
    </w:lvl>
    <w:lvl w:ilvl="8" w:tplc="9A8A3FA8"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3"/>
  </w:num>
  <w:num w:numId="3">
    <w:abstractNumId w:val="26"/>
  </w:num>
  <w:num w:numId="4">
    <w:abstractNumId w:val="27"/>
  </w:num>
  <w:num w:numId="5">
    <w:abstractNumId w:val="33"/>
  </w:num>
  <w:num w:numId="6">
    <w:abstractNumId w:val="20"/>
  </w:num>
  <w:num w:numId="7">
    <w:abstractNumId w:val="4"/>
  </w:num>
  <w:num w:numId="8">
    <w:abstractNumId w:val="7"/>
  </w:num>
  <w:num w:numId="9">
    <w:abstractNumId w:val="11"/>
  </w:num>
  <w:num w:numId="10">
    <w:abstractNumId w:val="17"/>
  </w:num>
  <w:num w:numId="11">
    <w:abstractNumId w:val="18"/>
  </w:num>
  <w:num w:numId="12">
    <w:abstractNumId w:val="13"/>
  </w:num>
  <w:num w:numId="13">
    <w:abstractNumId w:val="18"/>
  </w:num>
  <w:num w:numId="14">
    <w:abstractNumId w:val="16"/>
  </w:num>
  <w:num w:numId="15">
    <w:abstractNumId w:val="18"/>
    <w:lvlOverride w:ilvl="0">
      <w:startOverride w:val="2"/>
    </w:lvlOverride>
    <w:lvlOverride w:ilvl="1">
      <w:startOverride w:val="2"/>
    </w:lvlOverride>
  </w:num>
  <w:num w:numId="16">
    <w:abstractNumId w:val="12"/>
  </w:num>
  <w:num w:numId="17">
    <w:abstractNumId w:val="32"/>
  </w:num>
  <w:num w:numId="18">
    <w:abstractNumId w:val="6"/>
  </w:num>
  <w:num w:numId="19">
    <w:abstractNumId w:val="29"/>
  </w:num>
  <w:num w:numId="20">
    <w:abstractNumId w:val="8"/>
  </w:num>
  <w:num w:numId="21">
    <w:abstractNumId w:val="1"/>
  </w:num>
  <w:num w:numId="22">
    <w:abstractNumId w:val="25"/>
  </w:num>
  <w:num w:numId="23">
    <w:abstractNumId w:val="30"/>
  </w:num>
  <w:num w:numId="24">
    <w:abstractNumId w:val="10"/>
  </w:num>
  <w:num w:numId="25">
    <w:abstractNumId w:val="14"/>
  </w:num>
  <w:num w:numId="26">
    <w:abstractNumId w:val="0"/>
  </w:num>
  <w:num w:numId="27">
    <w:abstractNumId w:val="24"/>
  </w:num>
  <w:num w:numId="28">
    <w:abstractNumId w:val="28"/>
  </w:num>
  <w:num w:numId="29">
    <w:abstractNumId w:val="23"/>
  </w:num>
  <w:num w:numId="30">
    <w:abstractNumId w:val="5"/>
  </w:num>
  <w:num w:numId="31">
    <w:abstractNumId w:val="21"/>
  </w:num>
  <w:num w:numId="32">
    <w:abstractNumId w:val="19"/>
  </w:num>
  <w:num w:numId="33">
    <w:abstractNumId w:val="15"/>
  </w:num>
  <w:num w:numId="34">
    <w:abstractNumId w:val="34"/>
  </w:num>
  <w:num w:numId="35">
    <w:abstractNumId w:val="18"/>
  </w:num>
  <w:num w:numId="36">
    <w:abstractNumId w:val="18"/>
  </w:num>
  <w:num w:numId="37">
    <w:abstractNumId w:val="18"/>
  </w:num>
  <w:num w:numId="38">
    <w:abstractNumId w:val="18"/>
  </w:num>
  <w:num w:numId="39">
    <w:abstractNumId w:val="18"/>
  </w:num>
  <w:num w:numId="40">
    <w:abstractNumId w:val="2"/>
  </w:num>
  <w:num w:numId="41">
    <w:abstractNumId w:val="18"/>
  </w:num>
  <w:num w:numId="42">
    <w:abstractNumId w:val="18"/>
  </w:num>
  <w:num w:numId="43">
    <w:abstractNumId w:val="22"/>
  </w:num>
  <w:num w:numId="44">
    <w:abstractNumId w:val="18"/>
  </w:num>
  <w:num w:numId="45">
    <w:abstractNumId w:val="18"/>
  </w:num>
  <w:num w:numId="46">
    <w:abstractNumId w:val="18"/>
  </w:num>
  <w:num w:numId="47">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8"/>
  </w:num>
  <w:num w:numId="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6"/>
    <w:rsid w:val="00000F00"/>
    <w:rsid w:val="000039BB"/>
    <w:rsid w:val="00006C73"/>
    <w:rsid w:val="00006E6D"/>
    <w:rsid w:val="0001049C"/>
    <w:rsid w:val="0001064E"/>
    <w:rsid w:val="000109BB"/>
    <w:rsid w:val="00010EFA"/>
    <w:rsid w:val="000110B7"/>
    <w:rsid w:val="00011A68"/>
    <w:rsid w:val="00011F3A"/>
    <w:rsid w:val="00011F5D"/>
    <w:rsid w:val="000125B4"/>
    <w:rsid w:val="00017D53"/>
    <w:rsid w:val="000229ED"/>
    <w:rsid w:val="00022A0B"/>
    <w:rsid w:val="0002509E"/>
    <w:rsid w:val="00037279"/>
    <w:rsid w:val="000400CD"/>
    <w:rsid w:val="00040375"/>
    <w:rsid w:val="00040749"/>
    <w:rsid w:val="00040D74"/>
    <w:rsid w:val="00040DC2"/>
    <w:rsid w:val="00041239"/>
    <w:rsid w:val="00043107"/>
    <w:rsid w:val="000445A7"/>
    <w:rsid w:val="000503C7"/>
    <w:rsid w:val="00051291"/>
    <w:rsid w:val="000514D2"/>
    <w:rsid w:val="000525DF"/>
    <w:rsid w:val="00052DD2"/>
    <w:rsid w:val="000530A1"/>
    <w:rsid w:val="00054417"/>
    <w:rsid w:val="0006066B"/>
    <w:rsid w:val="000613FD"/>
    <w:rsid w:val="00062150"/>
    <w:rsid w:val="00063FE3"/>
    <w:rsid w:val="00067C69"/>
    <w:rsid w:val="00070F56"/>
    <w:rsid w:val="000758C1"/>
    <w:rsid w:val="000778CE"/>
    <w:rsid w:val="00080164"/>
    <w:rsid w:val="00080B36"/>
    <w:rsid w:val="00081579"/>
    <w:rsid w:val="00082B3C"/>
    <w:rsid w:val="00082C24"/>
    <w:rsid w:val="00083E14"/>
    <w:rsid w:val="00084B14"/>
    <w:rsid w:val="000864AB"/>
    <w:rsid w:val="000904A7"/>
    <w:rsid w:val="00090BA0"/>
    <w:rsid w:val="00095A55"/>
    <w:rsid w:val="000A3BF2"/>
    <w:rsid w:val="000A577C"/>
    <w:rsid w:val="000A6175"/>
    <w:rsid w:val="000A6243"/>
    <w:rsid w:val="000B45AF"/>
    <w:rsid w:val="000B6479"/>
    <w:rsid w:val="000B7372"/>
    <w:rsid w:val="000C32CA"/>
    <w:rsid w:val="000C41AE"/>
    <w:rsid w:val="000C6CE6"/>
    <w:rsid w:val="000D0D75"/>
    <w:rsid w:val="000D168D"/>
    <w:rsid w:val="000D41A6"/>
    <w:rsid w:val="000E3BAF"/>
    <w:rsid w:val="000E5253"/>
    <w:rsid w:val="000E6437"/>
    <w:rsid w:val="000E6AB2"/>
    <w:rsid w:val="000F31C6"/>
    <w:rsid w:val="000F54CF"/>
    <w:rsid w:val="00102E19"/>
    <w:rsid w:val="0010728C"/>
    <w:rsid w:val="00113D10"/>
    <w:rsid w:val="0011655D"/>
    <w:rsid w:val="0012363D"/>
    <w:rsid w:val="0012395D"/>
    <w:rsid w:val="001245DD"/>
    <w:rsid w:val="00126842"/>
    <w:rsid w:val="00127CEF"/>
    <w:rsid w:val="00130928"/>
    <w:rsid w:val="00132BB5"/>
    <w:rsid w:val="001355CC"/>
    <w:rsid w:val="0014159B"/>
    <w:rsid w:val="00141B81"/>
    <w:rsid w:val="0014610D"/>
    <w:rsid w:val="001465A4"/>
    <w:rsid w:val="00146D87"/>
    <w:rsid w:val="00146FF3"/>
    <w:rsid w:val="00147BE4"/>
    <w:rsid w:val="001502B2"/>
    <w:rsid w:val="001526E5"/>
    <w:rsid w:val="00154F8E"/>
    <w:rsid w:val="00155B9A"/>
    <w:rsid w:val="00157B2B"/>
    <w:rsid w:val="00162EEA"/>
    <w:rsid w:val="001660BE"/>
    <w:rsid w:val="00167C62"/>
    <w:rsid w:val="00170455"/>
    <w:rsid w:val="00173A14"/>
    <w:rsid w:val="00176D81"/>
    <w:rsid w:val="001814F8"/>
    <w:rsid w:val="00181E75"/>
    <w:rsid w:val="00183300"/>
    <w:rsid w:val="00184818"/>
    <w:rsid w:val="00184CE2"/>
    <w:rsid w:val="00191C62"/>
    <w:rsid w:val="00192C47"/>
    <w:rsid w:val="001935FB"/>
    <w:rsid w:val="00196DB4"/>
    <w:rsid w:val="001B0176"/>
    <w:rsid w:val="001B121D"/>
    <w:rsid w:val="001B542F"/>
    <w:rsid w:val="001B627F"/>
    <w:rsid w:val="001C0263"/>
    <w:rsid w:val="001C340A"/>
    <w:rsid w:val="001D0EC4"/>
    <w:rsid w:val="001D4DA6"/>
    <w:rsid w:val="001E0F14"/>
    <w:rsid w:val="001E27AB"/>
    <w:rsid w:val="001E2C14"/>
    <w:rsid w:val="001E4F02"/>
    <w:rsid w:val="001E6B6C"/>
    <w:rsid w:val="001E700F"/>
    <w:rsid w:val="001E7137"/>
    <w:rsid w:val="001F0A0C"/>
    <w:rsid w:val="001F2CBA"/>
    <w:rsid w:val="001F56B6"/>
    <w:rsid w:val="001F6192"/>
    <w:rsid w:val="001F653D"/>
    <w:rsid w:val="00200372"/>
    <w:rsid w:val="00203181"/>
    <w:rsid w:val="00203F14"/>
    <w:rsid w:val="002073D6"/>
    <w:rsid w:val="00214AA0"/>
    <w:rsid w:val="00215A9D"/>
    <w:rsid w:val="00215B2F"/>
    <w:rsid w:val="00216253"/>
    <w:rsid w:val="002172F3"/>
    <w:rsid w:val="002221F7"/>
    <w:rsid w:val="002307DB"/>
    <w:rsid w:val="00237206"/>
    <w:rsid w:val="00237DB0"/>
    <w:rsid w:val="00241E12"/>
    <w:rsid w:val="00244CC2"/>
    <w:rsid w:val="002544B1"/>
    <w:rsid w:val="00256994"/>
    <w:rsid w:val="00257C95"/>
    <w:rsid w:val="002631D3"/>
    <w:rsid w:val="0027297A"/>
    <w:rsid w:val="0027347D"/>
    <w:rsid w:val="0027499C"/>
    <w:rsid w:val="0027718B"/>
    <w:rsid w:val="00283DBA"/>
    <w:rsid w:val="002854C0"/>
    <w:rsid w:val="00285534"/>
    <w:rsid w:val="002913A1"/>
    <w:rsid w:val="00291414"/>
    <w:rsid w:val="0029325F"/>
    <w:rsid w:val="00295827"/>
    <w:rsid w:val="002A64A6"/>
    <w:rsid w:val="002B12FF"/>
    <w:rsid w:val="002B24AC"/>
    <w:rsid w:val="002B3E4B"/>
    <w:rsid w:val="002B6E6F"/>
    <w:rsid w:val="002C13D1"/>
    <w:rsid w:val="002C2564"/>
    <w:rsid w:val="002C4C2B"/>
    <w:rsid w:val="002C6255"/>
    <w:rsid w:val="002C7A8D"/>
    <w:rsid w:val="002D7084"/>
    <w:rsid w:val="002D771F"/>
    <w:rsid w:val="002D77B2"/>
    <w:rsid w:val="002E158A"/>
    <w:rsid w:val="002E5A19"/>
    <w:rsid w:val="002E7527"/>
    <w:rsid w:val="002F7117"/>
    <w:rsid w:val="0030311F"/>
    <w:rsid w:val="00303970"/>
    <w:rsid w:val="00305BCF"/>
    <w:rsid w:val="00316EA6"/>
    <w:rsid w:val="003204C7"/>
    <w:rsid w:val="003237F3"/>
    <w:rsid w:val="003247F1"/>
    <w:rsid w:val="0033061D"/>
    <w:rsid w:val="0033600A"/>
    <w:rsid w:val="00337738"/>
    <w:rsid w:val="00341BAE"/>
    <w:rsid w:val="0034640D"/>
    <w:rsid w:val="00350A0B"/>
    <w:rsid w:val="00351B8E"/>
    <w:rsid w:val="003534D9"/>
    <w:rsid w:val="00360852"/>
    <w:rsid w:val="00366139"/>
    <w:rsid w:val="003662BC"/>
    <w:rsid w:val="00367738"/>
    <w:rsid w:val="0037166A"/>
    <w:rsid w:val="00371D4A"/>
    <w:rsid w:val="0037426D"/>
    <w:rsid w:val="003820FC"/>
    <w:rsid w:val="003835E2"/>
    <w:rsid w:val="00383FAC"/>
    <w:rsid w:val="00387C77"/>
    <w:rsid w:val="00390A97"/>
    <w:rsid w:val="00392579"/>
    <w:rsid w:val="00394771"/>
    <w:rsid w:val="00395690"/>
    <w:rsid w:val="00395B29"/>
    <w:rsid w:val="00395CBA"/>
    <w:rsid w:val="00396A24"/>
    <w:rsid w:val="003A3203"/>
    <w:rsid w:val="003A394E"/>
    <w:rsid w:val="003A4EB8"/>
    <w:rsid w:val="003A5FE7"/>
    <w:rsid w:val="003A61A2"/>
    <w:rsid w:val="003A7C0F"/>
    <w:rsid w:val="003B06DD"/>
    <w:rsid w:val="003B1D96"/>
    <w:rsid w:val="003B4BE2"/>
    <w:rsid w:val="003B7F01"/>
    <w:rsid w:val="003C3311"/>
    <w:rsid w:val="003C690E"/>
    <w:rsid w:val="003D0184"/>
    <w:rsid w:val="003D02BC"/>
    <w:rsid w:val="003D0D0F"/>
    <w:rsid w:val="003E180C"/>
    <w:rsid w:val="003E183B"/>
    <w:rsid w:val="003E41C7"/>
    <w:rsid w:val="003E6D1A"/>
    <w:rsid w:val="003F216E"/>
    <w:rsid w:val="003F3E21"/>
    <w:rsid w:val="003F43FD"/>
    <w:rsid w:val="003F47E1"/>
    <w:rsid w:val="003F5A32"/>
    <w:rsid w:val="0040351C"/>
    <w:rsid w:val="00403EE5"/>
    <w:rsid w:val="00405ACD"/>
    <w:rsid w:val="004102A5"/>
    <w:rsid w:val="0041070A"/>
    <w:rsid w:val="0041179B"/>
    <w:rsid w:val="00411A65"/>
    <w:rsid w:val="00414636"/>
    <w:rsid w:val="00416B14"/>
    <w:rsid w:val="00422371"/>
    <w:rsid w:val="0042345A"/>
    <w:rsid w:val="00425B0C"/>
    <w:rsid w:val="00426BE1"/>
    <w:rsid w:val="004313BC"/>
    <w:rsid w:val="00440F86"/>
    <w:rsid w:val="00442A39"/>
    <w:rsid w:val="004444AE"/>
    <w:rsid w:val="0044765B"/>
    <w:rsid w:val="004476EA"/>
    <w:rsid w:val="00456533"/>
    <w:rsid w:val="004568F2"/>
    <w:rsid w:val="00457E78"/>
    <w:rsid w:val="0046064D"/>
    <w:rsid w:val="00461726"/>
    <w:rsid w:val="00461D53"/>
    <w:rsid w:val="00463624"/>
    <w:rsid w:val="00471B1C"/>
    <w:rsid w:val="00473CE4"/>
    <w:rsid w:val="00481DB8"/>
    <w:rsid w:val="00492CAA"/>
    <w:rsid w:val="00496D47"/>
    <w:rsid w:val="00496E6F"/>
    <w:rsid w:val="004A37C4"/>
    <w:rsid w:val="004B0B96"/>
    <w:rsid w:val="004B23ED"/>
    <w:rsid w:val="004B4EEB"/>
    <w:rsid w:val="004B5954"/>
    <w:rsid w:val="004B75C0"/>
    <w:rsid w:val="004B76E3"/>
    <w:rsid w:val="004B7BAA"/>
    <w:rsid w:val="004C595B"/>
    <w:rsid w:val="004D6A3F"/>
    <w:rsid w:val="004E0109"/>
    <w:rsid w:val="004E2CA2"/>
    <w:rsid w:val="004E438A"/>
    <w:rsid w:val="004E68C9"/>
    <w:rsid w:val="004F185A"/>
    <w:rsid w:val="004F4999"/>
    <w:rsid w:val="0050379B"/>
    <w:rsid w:val="00503E25"/>
    <w:rsid w:val="005061C9"/>
    <w:rsid w:val="00507204"/>
    <w:rsid w:val="00507A43"/>
    <w:rsid w:val="005118E9"/>
    <w:rsid w:val="00512844"/>
    <w:rsid w:val="00515F71"/>
    <w:rsid w:val="005167F3"/>
    <w:rsid w:val="00521A8E"/>
    <w:rsid w:val="00522FD8"/>
    <w:rsid w:val="00523972"/>
    <w:rsid w:val="005240DB"/>
    <w:rsid w:val="005240E8"/>
    <w:rsid w:val="00524F57"/>
    <w:rsid w:val="0052689C"/>
    <w:rsid w:val="00532970"/>
    <w:rsid w:val="00535003"/>
    <w:rsid w:val="005438FF"/>
    <w:rsid w:val="00543EEC"/>
    <w:rsid w:val="00544E77"/>
    <w:rsid w:val="00546037"/>
    <w:rsid w:val="005477BB"/>
    <w:rsid w:val="005623E0"/>
    <w:rsid w:val="0056386E"/>
    <w:rsid w:val="00566A58"/>
    <w:rsid w:val="00567509"/>
    <w:rsid w:val="00567BAF"/>
    <w:rsid w:val="00570A6B"/>
    <w:rsid w:val="005721F1"/>
    <w:rsid w:val="005725A2"/>
    <w:rsid w:val="00574EF7"/>
    <w:rsid w:val="0057741E"/>
    <w:rsid w:val="0058080B"/>
    <w:rsid w:val="00585B62"/>
    <w:rsid w:val="00585E9B"/>
    <w:rsid w:val="00590DD6"/>
    <w:rsid w:val="00590DF8"/>
    <w:rsid w:val="005919E5"/>
    <w:rsid w:val="00591F3C"/>
    <w:rsid w:val="005A03A7"/>
    <w:rsid w:val="005A2AA2"/>
    <w:rsid w:val="005A3734"/>
    <w:rsid w:val="005B0D1C"/>
    <w:rsid w:val="005B0DDC"/>
    <w:rsid w:val="005B163C"/>
    <w:rsid w:val="005B17FC"/>
    <w:rsid w:val="005B1885"/>
    <w:rsid w:val="005B1CB9"/>
    <w:rsid w:val="005B447F"/>
    <w:rsid w:val="005B6A93"/>
    <w:rsid w:val="005C1AD9"/>
    <w:rsid w:val="005C3C8A"/>
    <w:rsid w:val="005C674F"/>
    <w:rsid w:val="005C7D55"/>
    <w:rsid w:val="005D3426"/>
    <w:rsid w:val="005E33C7"/>
    <w:rsid w:val="005E3CE6"/>
    <w:rsid w:val="005E3EED"/>
    <w:rsid w:val="005F3188"/>
    <w:rsid w:val="005F32B1"/>
    <w:rsid w:val="005F7276"/>
    <w:rsid w:val="005F740F"/>
    <w:rsid w:val="005F7988"/>
    <w:rsid w:val="006117B7"/>
    <w:rsid w:val="0061266F"/>
    <w:rsid w:val="006128A3"/>
    <w:rsid w:val="0061527A"/>
    <w:rsid w:val="0062171A"/>
    <w:rsid w:val="00621B7B"/>
    <w:rsid w:val="00622AE8"/>
    <w:rsid w:val="00625B36"/>
    <w:rsid w:val="0062699A"/>
    <w:rsid w:val="006274E4"/>
    <w:rsid w:val="00635A2B"/>
    <w:rsid w:val="006408A2"/>
    <w:rsid w:val="00640CEA"/>
    <w:rsid w:val="0064238A"/>
    <w:rsid w:val="0064378F"/>
    <w:rsid w:val="00643E1D"/>
    <w:rsid w:val="00645785"/>
    <w:rsid w:val="00647D1A"/>
    <w:rsid w:val="00653E3B"/>
    <w:rsid w:val="00654DF6"/>
    <w:rsid w:val="00656C39"/>
    <w:rsid w:val="00662BA9"/>
    <w:rsid w:val="00663DDB"/>
    <w:rsid w:val="00667DE9"/>
    <w:rsid w:val="00671079"/>
    <w:rsid w:val="00671998"/>
    <w:rsid w:val="00673E01"/>
    <w:rsid w:val="00677A97"/>
    <w:rsid w:val="00681DF8"/>
    <w:rsid w:val="006832E2"/>
    <w:rsid w:val="00683C8A"/>
    <w:rsid w:val="00686187"/>
    <w:rsid w:val="006918D1"/>
    <w:rsid w:val="00696C0E"/>
    <w:rsid w:val="00697002"/>
    <w:rsid w:val="00697024"/>
    <w:rsid w:val="006A20BA"/>
    <w:rsid w:val="006A2AF2"/>
    <w:rsid w:val="006A54CC"/>
    <w:rsid w:val="006A56AA"/>
    <w:rsid w:val="006B291C"/>
    <w:rsid w:val="006B2D7D"/>
    <w:rsid w:val="006B77ED"/>
    <w:rsid w:val="006C1AC7"/>
    <w:rsid w:val="006C3011"/>
    <w:rsid w:val="006C59B9"/>
    <w:rsid w:val="006D19A1"/>
    <w:rsid w:val="006D36F9"/>
    <w:rsid w:val="006E31D3"/>
    <w:rsid w:val="006E6550"/>
    <w:rsid w:val="006F37DA"/>
    <w:rsid w:val="006F501B"/>
    <w:rsid w:val="006F7360"/>
    <w:rsid w:val="006F7BB9"/>
    <w:rsid w:val="00704C35"/>
    <w:rsid w:val="007062ED"/>
    <w:rsid w:val="007075C2"/>
    <w:rsid w:val="0071315E"/>
    <w:rsid w:val="0071322B"/>
    <w:rsid w:val="007140C2"/>
    <w:rsid w:val="00714A19"/>
    <w:rsid w:val="0071543A"/>
    <w:rsid w:val="00716A03"/>
    <w:rsid w:val="00725FF1"/>
    <w:rsid w:val="007338D0"/>
    <w:rsid w:val="00740EFA"/>
    <w:rsid w:val="00743D85"/>
    <w:rsid w:val="00750AB9"/>
    <w:rsid w:val="00753AFF"/>
    <w:rsid w:val="007544C9"/>
    <w:rsid w:val="0075697F"/>
    <w:rsid w:val="007616CA"/>
    <w:rsid w:val="00763B83"/>
    <w:rsid w:val="00764C07"/>
    <w:rsid w:val="00765DD7"/>
    <w:rsid w:val="00770064"/>
    <w:rsid w:val="0077182C"/>
    <w:rsid w:val="007729E3"/>
    <w:rsid w:val="007827BE"/>
    <w:rsid w:val="00783EC5"/>
    <w:rsid w:val="00784016"/>
    <w:rsid w:val="00785A28"/>
    <w:rsid w:val="00790956"/>
    <w:rsid w:val="00795423"/>
    <w:rsid w:val="00795803"/>
    <w:rsid w:val="007A152D"/>
    <w:rsid w:val="007A4A02"/>
    <w:rsid w:val="007B1BD8"/>
    <w:rsid w:val="007B5E7B"/>
    <w:rsid w:val="007C122A"/>
    <w:rsid w:val="007C187A"/>
    <w:rsid w:val="007C297B"/>
    <w:rsid w:val="007C7454"/>
    <w:rsid w:val="007D3B90"/>
    <w:rsid w:val="007D486B"/>
    <w:rsid w:val="007D61DC"/>
    <w:rsid w:val="007E10C0"/>
    <w:rsid w:val="007E2249"/>
    <w:rsid w:val="007E565C"/>
    <w:rsid w:val="007F0EA3"/>
    <w:rsid w:val="007F11E4"/>
    <w:rsid w:val="007F2B65"/>
    <w:rsid w:val="007F37CD"/>
    <w:rsid w:val="007F3EA2"/>
    <w:rsid w:val="007F4FC9"/>
    <w:rsid w:val="007F5850"/>
    <w:rsid w:val="00801993"/>
    <w:rsid w:val="008019CD"/>
    <w:rsid w:val="00803E3E"/>
    <w:rsid w:val="00804249"/>
    <w:rsid w:val="00805C05"/>
    <w:rsid w:val="0080612F"/>
    <w:rsid w:val="00810534"/>
    <w:rsid w:val="008145BF"/>
    <w:rsid w:val="008169FE"/>
    <w:rsid w:val="00820171"/>
    <w:rsid w:val="00820EB1"/>
    <w:rsid w:val="00821F35"/>
    <w:rsid w:val="00822B86"/>
    <w:rsid w:val="00824369"/>
    <w:rsid w:val="00825115"/>
    <w:rsid w:val="008260F5"/>
    <w:rsid w:val="00827113"/>
    <w:rsid w:val="00827A1C"/>
    <w:rsid w:val="00831F32"/>
    <w:rsid w:val="008328DD"/>
    <w:rsid w:val="00832BB2"/>
    <w:rsid w:val="008346E1"/>
    <w:rsid w:val="00835DFF"/>
    <w:rsid w:val="0083668F"/>
    <w:rsid w:val="008369BF"/>
    <w:rsid w:val="008406E9"/>
    <w:rsid w:val="00842E16"/>
    <w:rsid w:val="0084587F"/>
    <w:rsid w:val="00846663"/>
    <w:rsid w:val="008501D8"/>
    <w:rsid w:val="0085081E"/>
    <w:rsid w:val="00851253"/>
    <w:rsid w:val="00851D74"/>
    <w:rsid w:val="00855744"/>
    <w:rsid w:val="008558FF"/>
    <w:rsid w:val="0086014E"/>
    <w:rsid w:val="00860AAE"/>
    <w:rsid w:val="00860ED3"/>
    <w:rsid w:val="00862586"/>
    <w:rsid w:val="00862C58"/>
    <w:rsid w:val="00866034"/>
    <w:rsid w:val="00871292"/>
    <w:rsid w:val="008714B9"/>
    <w:rsid w:val="00872C78"/>
    <w:rsid w:val="008739EE"/>
    <w:rsid w:val="00876C80"/>
    <w:rsid w:val="00876E2B"/>
    <w:rsid w:val="00877E8A"/>
    <w:rsid w:val="00881091"/>
    <w:rsid w:val="00882405"/>
    <w:rsid w:val="00882BDE"/>
    <w:rsid w:val="008855CB"/>
    <w:rsid w:val="00885CC9"/>
    <w:rsid w:val="00886270"/>
    <w:rsid w:val="00887B3D"/>
    <w:rsid w:val="00892252"/>
    <w:rsid w:val="008A0C45"/>
    <w:rsid w:val="008A3597"/>
    <w:rsid w:val="008A4AD6"/>
    <w:rsid w:val="008B1870"/>
    <w:rsid w:val="008B1C6D"/>
    <w:rsid w:val="008C4958"/>
    <w:rsid w:val="008C56F5"/>
    <w:rsid w:val="008C7456"/>
    <w:rsid w:val="008C74C4"/>
    <w:rsid w:val="008D5EF4"/>
    <w:rsid w:val="008E093B"/>
    <w:rsid w:val="008E1627"/>
    <w:rsid w:val="008E1691"/>
    <w:rsid w:val="008E47BA"/>
    <w:rsid w:val="008E65A0"/>
    <w:rsid w:val="008E7593"/>
    <w:rsid w:val="008F0A69"/>
    <w:rsid w:val="008F27CC"/>
    <w:rsid w:val="008F2969"/>
    <w:rsid w:val="008F38A1"/>
    <w:rsid w:val="008F7F71"/>
    <w:rsid w:val="009015F4"/>
    <w:rsid w:val="009027C9"/>
    <w:rsid w:val="0090357B"/>
    <w:rsid w:val="0090671B"/>
    <w:rsid w:val="00916514"/>
    <w:rsid w:val="0091774A"/>
    <w:rsid w:val="0092163D"/>
    <w:rsid w:val="009223D6"/>
    <w:rsid w:val="009232F4"/>
    <w:rsid w:val="0092368D"/>
    <w:rsid w:val="009241B5"/>
    <w:rsid w:val="00924403"/>
    <w:rsid w:val="009267A0"/>
    <w:rsid w:val="00930D2E"/>
    <w:rsid w:val="00933350"/>
    <w:rsid w:val="00936BF4"/>
    <w:rsid w:val="009371B7"/>
    <w:rsid w:val="00940ADF"/>
    <w:rsid w:val="009414F0"/>
    <w:rsid w:val="00941ED6"/>
    <w:rsid w:val="00944F00"/>
    <w:rsid w:val="00945C72"/>
    <w:rsid w:val="0094631A"/>
    <w:rsid w:val="00946646"/>
    <w:rsid w:val="00946E35"/>
    <w:rsid w:val="0095017F"/>
    <w:rsid w:val="00951A19"/>
    <w:rsid w:val="0095388F"/>
    <w:rsid w:val="00954012"/>
    <w:rsid w:val="00961D08"/>
    <w:rsid w:val="00962173"/>
    <w:rsid w:val="009649B4"/>
    <w:rsid w:val="0096589B"/>
    <w:rsid w:val="00975A68"/>
    <w:rsid w:val="0097633F"/>
    <w:rsid w:val="00977517"/>
    <w:rsid w:val="00981B84"/>
    <w:rsid w:val="00982722"/>
    <w:rsid w:val="0098386B"/>
    <w:rsid w:val="00983E0C"/>
    <w:rsid w:val="00993328"/>
    <w:rsid w:val="009935B1"/>
    <w:rsid w:val="009A1C81"/>
    <w:rsid w:val="009A2153"/>
    <w:rsid w:val="009A53E6"/>
    <w:rsid w:val="009A61D2"/>
    <w:rsid w:val="009A7895"/>
    <w:rsid w:val="009B11F3"/>
    <w:rsid w:val="009B51E0"/>
    <w:rsid w:val="009B5AD3"/>
    <w:rsid w:val="009C0F6D"/>
    <w:rsid w:val="009C11AF"/>
    <w:rsid w:val="009C15DD"/>
    <w:rsid w:val="009C1BE5"/>
    <w:rsid w:val="009C3587"/>
    <w:rsid w:val="009D4491"/>
    <w:rsid w:val="009D73C0"/>
    <w:rsid w:val="009D777D"/>
    <w:rsid w:val="009D7EE5"/>
    <w:rsid w:val="009E0A3E"/>
    <w:rsid w:val="009E1802"/>
    <w:rsid w:val="009E3299"/>
    <w:rsid w:val="009E4540"/>
    <w:rsid w:val="009E544D"/>
    <w:rsid w:val="009F2001"/>
    <w:rsid w:val="009F24C5"/>
    <w:rsid w:val="009F2F5B"/>
    <w:rsid w:val="009F45FB"/>
    <w:rsid w:val="009F62C0"/>
    <w:rsid w:val="009F6544"/>
    <w:rsid w:val="00A01A9D"/>
    <w:rsid w:val="00A03A60"/>
    <w:rsid w:val="00A044C6"/>
    <w:rsid w:val="00A0526E"/>
    <w:rsid w:val="00A111A5"/>
    <w:rsid w:val="00A134B4"/>
    <w:rsid w:val="00A1632E"/>
    <w:rsid w:val="00A2022F"/>
    <w:rsid w:val="00A21DD9"/>
    <w:rsid w:val="00A2282B"/>
    <w:rsid w:val="00A3102E"/>
    <w:rsid w:val="00A31883"/>
    <w:rsid w:val="00A35A3D"/>
    <w:rsid w:val="00A36835"/>
    <w:rsid w:val="00A42145"/>
    <w:rsid w:val="00A43190"/>
    <w:rsid w:val="00A442F1"/>
    <w:rsid w:val="00A44AD0"/>
    <w:rsid w:val="00A504AB"/>
    <w:rsid w:val="00A50984"/>
    <w:rsid w:val="00A51C34"/>
    <w:rsid w:val="00A53300"/>
    <w:rsid w:val="00A538C3"/>
    <w:rsid w:val="00A54294"/>
    <w:rsid w:val="00A55382"/>
    <w:rsid w:val="00A55612"/>
    <w:rsid w:val="00A635C7"/>
    <w:rsid w:val="00A67F23"/>
    <w:rsid w:val="00A705A8"/>
    <w:rsid w:val="00A721F8"/>
    <w:rsid w:val="00A737B5"/>
    <w:rsid w:val="00A75408"/>
    <w:rsid w:val="00A77433"/>
    <w:rsid w:val="00A81826"/>
    <w:rsid w:val="00A8443E"/>
    <w:rsid w:val="00A870EE"/>
    <w:rsid w:val="00A91F6A"/>
    <w:rsid w:val="00A93EDE"/>
    <w:rsid w:val="00A96719"/>
    <w:rsid w:val="00A9732C"/>
    <w:rsid w:val="00A97742"/>
    <w:rsid w:val="00A97EDA"/>
    <w:rsid w:val="00AA0097"/>
    <w:rsid w:val="00AA1D9B"/>
    <w:rsid w:val="00AA67CD"/>
    <w:rsid w:val="00AA7A1B"/>
    <w:rsid w:val="00AA7B28"/>
    <w:rsid w:val="00AB54D6"/>
    <w:rsid w:val="00AB5A20"/>
    <w:rsid w:val="00AC32E6"/>
    <w:rsid w:val="00AC4061"/>
    <w:rsid w:val="00AC6FDA"/>
    <w:rsid w:val="00AD18F2"/>
    <w:rsid w:val="00AD43B8"/>
    <w:rsid w:val="00AE7FBE"/>
    <w:rsid w:val="00AF0E73"/>
    <w:rsid w:val="00AF1E1F"/>
    <w:rsid w:val="00AF2B04"/>
    <w:rsid w:val="00AF65E3"/>
    <w:rsid w:val="00AF70AD"/>
    <w:rsid w:val="00B0163B"/>
    <w:rsid w:val="00B01DAF"/>
    <w:rsid w:val="00B06BF7"/>
    <w:rsid w:val="00B07D50"/>
    <w:rsid w:val="00B12C02"/>
    <w:rsid w:val="00B13225"/>
    <w:rsid w:val="00B15708"/>
    <w:rsid w:val="00B162B6"/>
    <w:rsid w:val="00B16D99"/>
    <w:rsid w:val="00B210FF"/>
    <w:rsid w:val="00B2300C"/>
    <w:rsid w:val="00B24CB9"/>
    <w:rsid w:val="00B26007"/>
    <w:rsid w:val="00B26D03"/>
    <w:rsid w:val="00B278A8"/>
    <w:rsid w:val="00B31744"/>
    <w:rsid w:val="00B332C7"/>
    <w:rsid w:val="00B3411E"/>
    <w:rsid w:val="00B41C3E"/>
    <w:rsid w:val="00B473C2"/>
    <w:rsid w:val="00B54C87"/>
    <w:rsid w:val="00B6185C"/>
    <w:rsid w:val="00B62440"/>
    <w:rsid w:val="00B64061"/>
    <w:rsid w:val="00B643CF"/>
    <w:rsid w:val="00B64C2E"/>
    <w:rsid w:val="00B65D2C"/>
    <w:rsid w:val="00B71D78"/>
    <w:rsid w:val="00B726AF"/>
    <w:rsid w:val="00B72EA4"/>
    <w:rsid w:val="00B76ABE"/>
    <w:rsid w:val="00B76C1F"/>
    <w:rsid w:val="00B8065E"/>
    <w:rsid w:val="00B81AFC"/>
    <w:rsid w:val="00B830DB"/>
    <w:rsid w:val="00B83C9F"/>
    <w:rsid w:val="00B85CC6"/>
    <w:rsid w:val="00B934A2"/>
    <w:rsid w:val="00B96F44"/>
    <w:rsid w:val="00B976BE"/>
    <w:rsid w:val="00BA0E72"/>
    <w:rsid w:val="00BA2089"/>
    <w:rsid w:val="00BA3C55"/>
    <w:rsid w:val="00BA4366"/>
    <w:rsid w:val="00BA4B46"/>
    <w:rsid w:val="00BA60BE"/>
    <w:rsid w:val="00BB09D3"/>
    <w:rsid w:val="00BB44CC"/>
    <w:rsid w:val="00BB4503"/>
    <w:rsid w:val="00BB4510"/>
    <w:rsid w:val="00BB5BDE"/>
    <w:rsid w:val="00BB605C"/>
    <w:rsid w:val="00BB60E0"/>
    <w:rsid w:val="00BB61B4"/>
    <w:rsid w:val="00BB7E3D"/>
    <w:rsid w:val="00BC03F0"/>
    <w:rsid w:val="00BC1313"/>
    <w:rsid w:val="00BC1EAC"/>
    <w:rsid w:val="00BC2472"/>
    <w:rsid w:val="00BC7F37"/>
    <w:rsid w:val="00BD1A0E"/>
    <w:rsid w:val="00BD61B9"/>
    <w:rsid w:val="00BE0AD3"/>
    <w:rsid w:val="00BE1047"/>
    <w:rsid w:val="00BE1A1D"/>
    <w:rsid w:val="00BE2070"/>
    <w:rsid w:val="00BE2341"/>
    <w:rsid w:val="00BE66EC"/>
    <w:rsid w:val="00BE7EC9"/>
    <w:rsid w:val="00BF1C87"/>
    <w:rsid w:val="00BF213A"/>
    <w:rsid w:val="00BF6B4D"/>
    <w:rsid w:val="00BF7919"/>
    <w:rsid w:val="00C03659"/>
    <w:rsid w:val="00C036B5"/>
    <w:rsid w:val="00C05076"/>
    <w:rsid w:val="00C0671E"/>
    <w:rsid w:val="00C139E8"/>
    <w:rsid w:val="00C200C1"/>
    <w:rsid w:val="00C22B18"/>
    <w:rsid w:val="00C25185"/>
    <w:rsid w:val="00C25BEA"/>
    <w:rsid w:val="00C26062"/>
    <w:rsid w:val="00C265E2"/>
    <w:rsid w:val="00C26DE6"/>
    <w:rsid w:val="00C32BC0"/>
    <w:rsid w:val="00C34401"/>
    <w:rsid w:val="00C414E7"/>
    <w:rsid w:val="00C42CDE"/>
    <w:rsid w:val="00C437BA"/>
    <w:rsid w:val="00C44823"/>
    <w:rsid w:val="00C45122"/>
    <w:rsid w:val="00C50BCA"/>
    <w:rsid w:val="00C5363D"/>
    <w:rsid w:val="00C57ED2"/>
    <w:rsid w:val="00C64B08"/>
    <w:rsid w:val="00C652D9"/>
    <w:rsid w:val="00C722DB"/>
    <w:rsid w:val="00C72AC7"/>
    <w:rsid w:val="00C77602"/>
    <w:rsid w:val="00C81386"/>
    <w:rsid w:val="00C83CDD"/>
    <w:rsid w:val="00C855D6"/>
    <w:rsid w:val="00C85D20"/>
    <w:rsid w:val="00C86728"/>
    <w:rsid w:val="00C874A1"/>
    <w:rsid w:val="00C90333"/>
    <w:rsid w:val="00C92E9C"/>
    <w:rsid w:val="00C9456D"/>
    <w:rsid w:val="00C95B95"/>
    <w:rsid w:val="00C97EA1"/>
    <w:rsid w:val="00CA41D9"/>
    <w:rsid w:val="00CA529A"/>
    <w:rsid w:val="00CB15A3"/>
    <w:rsid w:val="00CB185A"/>
    <w:rsid w:val="00CB5154"/>
    <w:rsid w:val="00CB7997"/>
    <w:rsid w:val="00CC0C2E"/>
    <w:rsid w:val="00CC0E60"/>
    <w:rsid w:val="00CC236C"/>
    <w:rsid w:val="00CC4079"/>
    <w:rsid w:val="00CC4486"/>
    <w:rsid w:val="00CD09A8"/>
    <w:rsid w:val="00CD1F15"/>
    <w:rsid w:val="00CD2A73"/>
    <w:rsid w:val="00CD2DC4"/>
    <w:rsid w:val="00CD3B7E"/>
    <w:rsid w:val="00CD542A"/>
    <w:rsid w:val="00CD5E82"/>
    <w:rsid w:val="00CD72E2"/>
    <w:rsid w:val="00CD7C79"/>
    <w:rsid w:val="00CD7CCF"/>
    <w:rsid w:val="00CE1AEE"/>
    <w:rsid w:val="00CE7003"/>
    <w:rsid w:val="00CF2D32"/>
    <w:rsid w:val="00CF3A67"/>
    <w:rsid w:val="00CF4FB6"/>
    <w:rsid w:val="00D0135C"/>
    <w:rsid w:val="00D024EB"/>
    <w:rsid w:val="00D02F31"/>
    <w:rsid w:val="00D0398B"/>
    <w:rsid w:val="00D069E7"/>
    <w:rsid w:val="00D06E7C"/>
    <w:rsid w:val="00D10837"/>
    <w:rsid w:val="00D11ED2"/>
    <w:rsid w:val="00D14200"/>
    <w:rsid w:val="00D14701"/>
    <w:rsid w:val="00D21613"/>
    <w:rsid w:val="00D22F4A"/>
    <w:rsid w:val="00D2488A"/>
    <w:rsid w:val="00D25EA5"/>
    <w:rsid w:val="00D26BDA"/>
    <w:rsid w:val="00D30AFF"/>
    <w:rsid w:val="00D33FC8"/>
    <w:rsid w:val="00D359CC"/>
    <w:rsid w:val="00D35F84"/>
    <w:rsid w:val="00D36268"/>
    <w:rsid w:val="00D3787E"/>
    <w:rsid w:val="00D4442E"/>
    <w:rsid w:val="00D4443C"/>
    <w:rsid w:val="00D45ADC"/>
    <w:rsid w:val="00D45BD7"/>
    <w:rsid w:val="00D462A7"/>
    <w:rsid w:val="00D46FDE"/>
    <w:rsid w:val="00D47950"/>
    <w:rsid w:val="00D5119B"/>
    <w:rsid w:val="00D52EA0"/>
    <w:rsid w:val="00D54487"/>
    <w:rsid w:val="00D57579"/>
    <w:rsid w:val="00D61D06"/>
    <w:rsid w:val="00D61DC7"/>
    <w:rsid w:val="00D6237E"/>
    <w:rsid w:val="00D65188"/>
    <w:rsid w:val="00D668C9"/>
    <w:rsid w:val="00D67B54"/>
    <w:rsid w:val="00D71081"/>
    <w:rsid w:val="00D741BE"/>
    <w:rsid w:val="00D741E0"/>
    <w:rsid w:val="00D74D3F"/>
    <w:rsid w:val="00D75887"/>
    <w:rsid w:val="00D771A0"/>
    <w:rsid w:val="00D80819"/>
    <w:rsid w:val="00D809BA"/>
    <w:rsid w:val="00D825DF"/>
    <w:rsid w:val="00D83CA5"/>
    <w:rsid w:val="00D84FE8"/>
    <w:rsid w:val="00D86A87"/>
    <w:rsid w:val="00D87909"/>
    <w:rsid w:val="00D90E8F"/>
    <w:rsid w:val="00D9353B"/>
    <w:rsid w:val="00D94434"/>
    <w:rsid w:val="00D95498"/>
    <w:rsid w:val="00DA2257"/>
    <w:rsid w:val="00DA3593"/>
    <w:rsid w:val="00DA46AE"/>
    <w:rsid w:val="00DA52CB"/>
    <w:rsid w:val="00DA68DD"/>
    <w:rsid w:val="00DA7731"/>
    <w:rsid w:val="00DC1F9C"/>
    <w:rsid w:val="00DC27E8"/>
    <w:rsid w:val="00DC3C0A"/>
    <w:rsid w:val="00DC5179"/>
    <w:rsid w:val="00DC7D5D"/>
    <w:rsid w:val="00DD0E72"/>
    <w:rsid w:val="00DD1CF6"/>
    <w:rsid w:val="00DD722C"/>
    <w:rsid w:val="00DF3F20"/>
    <w:rsid w:val="00DF41E7"/>
    <w:rsid w:val="00DF53D3"/>
    <w:rsid w:val="00E003E0"/>
    <w:rsid w:val="00E011E5"/>
    <w:rsid w:val="00E030A9"/>
    <w:rsid w:val="00E0732C"/>
    <w:rsid w:val="00E11074"/>
    <w:rsid w:val="00E1566C"/>
    <w:rsid w:val="00E20AB0"/>
    <w:rsid w:val="00E22BFE"/>
    <w:rsid w:val="00E34D94"/>
    <w:rsid w:val="00E37BBC"/>
    <w:rsid w:val="00E446F9"/>
    <w:rsid w:val="00E45FD9"/>
    <w:rsid w:val="00E47831"/>
    <w:rsid w:val="00E51716"/>
    <w:rsid w:val="00E52A56"/>
    <w:rsid w:val="00E54A02"/>
    <w:rsid w:val="00E60989"/>
    <w:rsid w:val="00E61423"/>
    <w:rsid w:val="00E63CD1"/>
    <w:rsid w:val="00E65980"/>
    <w:rsid w:val="00E65DF5"/>
    <w:rsid w:val="00E71E4C"/>
    <w:rsid w:val="00E726AC"/>
    <w:rsid w:val="00E76A9B"/>
    <w:rsid w:val="00E81C0F"/>
    <w:rsid w:val="00E81F68"/>
    <w:rsid w:val="00E8266B"/>
    <w:rsid w:val="00E840AC"/>
    <w:rsid w:val="00E855E9"/>
    <w:rsid w:val="00E93965"/>
    <w:rsid w:val="00E94026"/>
    <w:rsid w:val="00E95BF7"/>
    <w:rsid w:val="00EA124A"/>
    <w:rsid w:val="00EA20B7"/>
    <w:rsid w:val="00EA3206"/>
    <w:rsid w:val="00EA4A98"/>
    <w:rsid w:val="00EA627B"/>
    <w:rsid w:val="00EA7E74"/>
    <w:rsid w:val="00EB0013"/>
    <w:rsid w:val="00EB1C9E"/>
    <w:rsid w:val="00EB5531"/>
    <w:rsid w:val="00EB5F89"/>
    <w:rsid w:val="00EB6550"/>
    <w:rsid w:val="00EC1A35"/>
    <w:rsid w:val="00ED15EB"/>
    <w:rsid w:val="00ED261F"/>
    <w:rsid w:val="00ED38C8"/>
    <w:rsid w:val="00EE0814"/>
    <w:rsid w:val="00EF2A4C"/>
    <w:rsid w:val="00EF4698"/>
    <w:rsid w:val="00F01544"/>
    <w:rsid w:val="00F0352A"/>
    <w:rsid w:val="00F04428"/>
    <w:rsid w:val="00F04AEA"/>
    <w:rsid w:val="00F04D7D"/>
    <w:rsid w:val="00F11D94"/>
    <w:rsid w:val="00F12014"/>
    <w:rsid w:val="00F16168"/>
    <w:rsid w:val="00F2309D"/>
    <w:rsid w:val="00F237D7"/>
    <w:rsid w:val="00F24614"/>
    <w:rsid w:val="00F26CCC"/>
    <w:rsid w:val="00F34681"/>
    <w:rsid w:val="00F35DB4"/>
    <w:rsid w:val="00F36347"/>
    <w:rsid w:val="00F364E2"/>
    <w:rsid w:val="00F41103"/>
    <w:rsid w:val="00F417B6"/>
    <w:rsid w:val="00F4193F"/>
    <w:rsid w:val="00F431E4"/>
    <w:rsid w:val="00F44B6D"/>
    <w:rsid w:val="00F452E8"/>
    <w:rsid w:val="00F45EAA"/>
    <w:rsid w:val="00F473FB"/>
    <w:rsid w:val="00F53551"/>
    <w:rsid w:val="00F57A85"/>
    <w:rsid w:val="00F64EB1"/>
    <w:rsid w:val="00F67876"/>
    <w:rsid w:val="00F67BE4"/>
    <w:rsid w:val="00F7107F"/>
    <w:rsid w:val="00F7140F"/>
    <w:rsid w:val="00F73A9E"/>
    <w:rsid w:val="00F77740"/>
    <w:rsid w:val="00F84D79"/>
    <w:rsid w:val="00F85AA3"/>
    <w:rsid w:val="00F93515"/>
    <w:rsid w:val="00F94017"/>
    <w:rsid w:val="00F943AA"/>
    <w:rsid w:val="00F96789"/>
    <w:rsid w:val="00F9736A"/>
    <w:rsid w:val="00FA3156"/>
    <w:rsid w:val="00FA31BA"/>
    <w:rsid w:val="00FA5944"/>
    <w:rsid w:val="00FA7CD0"/>
    <w:rsid w:val="00FB06AB"/>
    <w:rsid w:val="00FB3396"/>
    <w:rsid w:val="00FB3CD9"/>
    <w:rsid w:val="00FB4006"/>
    <w:rsid w:val="00FB6662"/>
    <w:rsid w:val="00FB7748"/>
    <w:rsid w:val="00FC159B"/>
    <w:rsid w:val="00FC32C3"/>
    <w:rsid w:val="00FC33E7"/>
    <w:rsid w:val="00FD08DE"/>
    <w:rsid w:val="00FD1C17"/>
    <w:rsid w:val="00FD2898"/>
    <w:rsid w:val="00FD3408"/>
    <w:rsid w:val="00FD470A"/>
    <w:rsid w:val="00FD587F"/>
    <w:rsid w:val="00FD6295"/>
    <w:rsid w:val="00FD6C57"/>
    <w:rsid w:val="00FD71D5"/>
    <w:rsid w:val="00FD7EEA"/>
    <w:rsid w:val="00FE1C77"/>
    <w:rsid w:val="00FE1E64"/>
    <w:rsid w:val="00FE3145"/>
    <w:rsid w:val="00FE478C"/>
    <w:rsid w:val="00FE5BF8"/>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F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paragraph" w:styleId="BodyText">
    <w:name w:val="Body Text"/>
    <w:basedOn w:val="Normal"/>
    <w:link w:val="BodyTextChar"/>
    <w:qFormat/>
    <w:rsid w:val="008E1627"/>
    <w:pPr>
      <w:autoSpaceDE/>
      <w:autoSpaceDN/>
      <w:adjustRightInd/>
      <w:spacing w:before="60" w:after="60"/>
      <w:ind w:left="1418"/>
      <w:jc w:val="center"/>
    </w:pPr>
    <w:rPr>
      <w:rFonts w:ascii="Arial" w:hAnsi="Arial"/>
      <w:sz w:val="20"/>
      <w:szCs w:val="20"/>
      <w:lang w:eastAsia="fr-FR"/>
    </w:rPr>
  </w:style>
  <w:style w:type="character" w:customStyle="1" w:styleId="BodyTextChar">
    <w:name w:val="Body Text Char"/>
    <w:basedOn w:val="DefaultParagraphFont"/>
    <w:link w:val="BodyText"/>
    <w:rsid w:val="008E1627"/>
    <w:rPr>
      <w:rFonts w:ascii="Arial" w:hAnsi="Arial"/>
      <w:lang w:val="en-GB" w:eastAsia="fr-FR"/>
    </w:rPr>
  </w:style>
  <w:style w:type="paragraph" w:customStyle="1" w:styleId="Appendix-mjo">
    <w:name w:val="Appendix-mjo"/>
    <w:basedOn w:val="Heading1"/>
    <w:qFormat/>
    <w:rsid w:val="008E1627"/>
    <w:pPr>
      <w:keepNext/>
      <w:keepLines/>
      <w:pageBreakBefore/>
      <w:numPr>
        <w:numId w:val="40"/>
      </w:numPr>
      <w:overflowPunct w:val="0"/>
      <w:spacing w:before="240" w:after="120"/>
      <w:jc w:val="left"/>
      <w:textAlignment w:val="baseline"/>
    </w:pPr>
    <w:rPr>
      <w:rFonts w:ascii="Arial" w:hAnsi="Arial"/>
      <w:b/>
      <w:caps/>
      <w:spacing w:val="20"/>
      <w:kern w:val="28"/>
      <w:sz w:val="32"/>
      <w:szCs w:val="20"/>
    </w:rPr>
  </w:style>
  <w:style w:type="paragraph" w:customStyle="1" w:styleId="Texte">
    <w:name w:val="Texte"/>
    <w:aliases w:val="Text,Text Car,Text Char Car Car Car,Texte1,Text1,Text Car1 Car Car,Text Car1,Text Car Car,Text Car Car Car,Text + Gras,Italique"/>
    <w:link w:val="TexteTextCar"/>
    <w:rsid w:val="005C7D55"/>
    <w:pPr>
      <w:spacing w:before="120" w:line="360" w:lineRule="atLeast"/>
      <w:jc w:val="both"/>
    </w:pPr>
    <w:rPr>
      <w:rFonts w:ascii="Arial" w:hAnsi="Arial"/>
      <w:sz w:val="22"/>
      <w:szCs w:val="24"/>
      <w:lang w:val="en-GB" w:eastAsia="fr-FR"/>
    </w:rPr>
  </w:style>
  <w:style w:type="character" w:customStyle="1" w:styleId="TexteTextCar">
    <w:name w:val="Texte;Text Car"/>
    <w:link w:val="Texte"/>
    <w:rsid w:val="005C7D55"/>
    <w:rPr>
      <w:rFonts w:ascii="Arial" w:hAnsi="Arial"/>
      <w:sz w:val="22"/>
      <w:szCs w:val="24"/>
      <w:lang w:val="en-GB" w:eastAsia="fr-FR"/>
    </w:rPr>
  </w:style>
  <w:style w:type="paragraph" w:customStyle="1" w:styleId="Default">
    <w:name w:val="Default"/>
    <w:rsid w:val="00512844"/>
    <w:pPr>
      <w:autoSpaceDE w:val="0"/>
      <w:autoSpaceDN w:val="0"/>
      <w:adjustRightInd w:val="0"/>
    </w:pPr>
    <w:rPr>
      <w:rFonts w:ascii="Arial" w:hAnsi="Arial" w:cs="Arial"/>
      <w:color w:val="000000"/>
      <w:sz w:val="24"/>
      <w:szCs w:val="24"/>
      <w:lang w:val="nb-NO"/>
    </w:rPr>
  </w:style>
  <w:style w:type="paragraph" w:styleId="Revision">
    <w:name w:val="Revision"/>
    <w:hidden/>
    <w:uiPriority w:val="99"/>
    <w:semiHidden/>
    <w:rsid w:val="00256994"/>
    <w:rPr>
      <w:sz w:val="22"/>
      <w:szCs w:val="24"/>
      <w:lang w:val="en-GB"/>
    </w:rPr>
  </w:style>
  <w:style w:type="paragraph" w:styleId="Caption">
    <w:name w:val="caption"/>
    <w:basedOn w:val="Normal"/>
    <w:next w:val="Normal"/>
    <w:unhideWhenUsed/>
    <w:qFormat/>
    <w:rsid w:val="00BE104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6025">
      <w:bodyDiv w:val="1"/>
      <w:marLeft w:val="0"/>
      <w:marRight w:val="0"/>
      <w:marTop w:val="0"/>
      <w:marBottom w:val="0"/>
      <w:divBdr>
        <w:top w:val="none" w:sz="0" w:space="0" w:color="auto"/>
        <w:left w:val="none" w:sz="0" w:space="0" w:color="auto"/>
        <w:bottom w:val="none" w:sz="0" w:space="0" w:color="auto"/>
        <w:right w:val="none" w:sz="0" w:space="0" w:color="auto"/>
      </w:divBdr>
    </w:div>
    <w:div w:id="119303807">
      <w:bodyDiv w:val="1"/>
      <w:marLeft w:val="0"/>
      <w:marRight w:val="0"/>
      <w:marTop w:val="0"/>
      <w:marBottom w:val="0"/>
      <w:divBdr>
        <w:top w:val="none" w:sz="0" w:space="0" w:color="auto"/>
        <w:left w:val="none" w:sz="0" w:space="0" w:color="auto"/>
        <w:bottom w:val="none" w:sz="0" w:space="0" w:color="auto"/>
        <w:right w:val="none" w:sz="0" w:space="0" w:color="auto"/>
      </w:divBdr>
    </w:div>
    <w:div w:id="402415785">
      <w:bodyDiv w:val="1"/>
      <w:marLeft w:val="0"/>
      <w:marRight w:val="0"/>
      <w:marTop w:val="0"/>
      <w:marBottom w:val="0"/>
      <w:divBdr>
        <w:top w:val="none" w:sz="0" w:space="0" w:color="auto"/>
        <w:left w:val="none" w:sz="0" w:space="0" w:color="auto"/>
        <w:bottom w:val="none" w:sz="0" w:space="0" w:color="auto"/>
        <w:right w:val="none" w:sz="0" w:space="0" w:color="auto"/>
      </w:divBdr>
    </w:div>
    <w:div w:id="640422347">
      <w:bodyDiv w:val="1"/>
      <w:marLeft w:val="0"/>
      <w:marRight w:val="0"/>
      <w:marTop w:val="0"/>
      <w:marBottom w:val="0"/>
      <w:divBdr>
        <w:top w:val="none" w:sz="0" w:space="0" w:color="auto"/>
        <w:left w:val="none" w:sz="0" w:space="0" w:color="auto"/>
        <w:bottom w:val="none" w:sz="0" w:space="0" w:color="auto"/>
        <w:right w:val="none" w:sz="0" w:space="0" w:color="auto"/>
      </w:divBdr>
      <w:divsChild>
        <w:div w:id="1288968745">
          <w:marLeft w:val="490"/>
          <w:marRight w:val="0"/>
          <w:marTop w:val="360"/>
          <w:marBottom w:val="120"/>
          <w:divBdr>
            <w:top w:val="none" w:sz="0" w:space="0" w:color="auto"/>
            <w:left w:val="none" w:sz="0" w:space="0" w:color="auto"/>
            <w:bottom w:val="none" w:sz="0" w:space="0" w:color="auto"/>
            <w:right w:val="none" w:sz="0" w:space="0" w:color="auto"/>
          </w:divBdr>
        </w:div>
        <w:div w:id="1216742661">
          <w:marLeft w:val="490"/>
          <w:marRight w:val="0"/>
          <w:marTop w:val="360"/>
          <w:marBottom w:val="120"/>
          <w:divBdr>
            <w:top w:val="none" w:sz="0" w:space="0" w:color="auto"/>
            <w:left w:val="none" w:sz="0" w:space="0" w:color="auto"/>
            <w:bottom w:val="none" w:sz="0" w:space="0" w:color="auto"/>
            <w:right w:val="none" w:sz="0" w:space="0" w:color="auto"/>
          </w:divBdr>
        </w:div>
        <w:div w:id="1750544277">
          <w:marLeft w:val="1426"/>
          <w:marRight w:val="0"/>
          <w:marTop w:val="120"/>
          <w:marBottom w:val="120"/>
          <w:divBdr>
            <w:top w:val="none" w:sz="0" w:space="0" w:color="auto"/>
            <w:left w:val="none" w:sz="0" w:space="0" w:color="auto"/>
            <w:bottom w:val="none" w:sz="0" w:space="0" w:color="auto"/>
            <w:right w:val="none" w:sz="0" w:space="0" w:color="auto"/>
          </w:divBdr>
        </w:div>
        <w:div w:id="492991438">
          <w:marLeft w:val="1426"/>
          <w:marRight w:val="0"/>
          <w:marTop w:val="120"/>
          <w:marBottom w:val="120"/>
          <w:divBdr>
            <w:top w:val="none" w:sz="0" w:space="0" w:color="auto"/>
            <w:left w:val="none" w:sz="0" w:space="0" w:color="auto"/>
            <w:bottom w:val="none" w:sz="0" w:space="0" w:color="auto"/>
            <w:right w:val="none" w:sz="0" w:space="0" w:color="auto"/>
          </w:divBdr>
        </w:div>
        <w:div w:id="1420517340">
          <w:marLeft w:val="1426"/>
          <w:marRight w:val="0"/>
          <w:marTop w:val="120"/>
          <w:marBottom w:val="120"/>
          <w:divBdr>
            <w:top w:val="none" w:sz="0" w:space="0" w:color="auto"/>
            <w:left w:val="none" w:sz="0" w:space="0" w:color="auto"/>
            <w:bottom w:val="none" w:sz="0" w:space="0" w:color="auto"/>
            <w:right w:val="none" w:sz="0" w:space="0" w:color="auto"/>
          </w:divBdr>
        </w:div>
        <w:div w:id="1204102250">
          <w:marLeft w:val="490"/>
          <w:marRight w:val="0"/>
          <w:marTop w:val="360"/>
          <w:marBottom w:val="120"/>
          <w:divBdr>
            <w:top w:val="none" w:sz="0" w:space="0" w:color="auto"/>
            <w:left w:val="none" w:sz="0" w:space="0" w:color="auto"/>
            <w:bottom w:val="none" w:sz="0" w:space="0" w:color="auto"/>
            <w:right w:val="none" w:sz="0" w:space="0" w:color="auto"/>
          </w:divBdr>
        </w:div>
        <w:div w:id="1699306276">
          <w:marLeft w:val="1426"/>
          <w:marRight w:val="0"/>
          <w:marTop w:val="120"/>
          <w:marBottom w:val="120"/>
          <w:divBdr>
            <w:top w:val="none" w:sz="0" w:space="0" w:color="auto"/>
            <w:left w:val="none" w:sz="0" w:space="0" w:color="auto"/>
            <w:bottom w:val="none" w:sz="0" w:space="0" w:color="auto"/>
            <w:right w:val="none" w:sz="0" w:space="0" w:color="auto"/>
          </w:divBdr>
        </w:div>
      </w:divsChild>
    </w:div>
    <w:div w:id="684527114">
      <w:bodyDiv w:val="1"/>
      <w:marLeft w:val="0"/>
      <w:marRight w:val="0"/>
      <w:marTop w:val="0"/>
      <w:marBottom w:val="0"/>
      <w:divBdr>
        <w:top w:val="none" w:sz="0" w:space="0" w:color="auto"/>
        <w:left w:val="none" w:sz="0" w:space="0" w:color="auto"/>
        <w:bottom w:val="none" w:sz="0" w:space="0" w:color="auto"/>
        <w:right w:val="none" w:sz="0" w:space="0" w:color="auto"/>
      </w:divBdr>
    </w:div>
    <w:div w:id="728380918">
      <w:bodyDiv w:val="1"/>
      <w:marLeft w:val="0"/>
      <w:marRight w:val="0"/>
      <w:marTop w:val="0"/>
      <w:marBottom w:val="0"/>
      <w:divBdr>
        <w:top w:val="none" w:sz="0" w:space="0" w:color="auto"/>
        <w:left w:val="none" w:sz="0" w:space="0" w:color="auto"/>
        <w:bottom w:val="none" w:sz="0" w:space="0" w:color="auto"/>
        <w:right w:val="none" w:sz="0" w:space="0" w:color="auto"/>
      </w:divBdr>
    </w:div>
    <w:div w:id="959992604">
      <w:bodyDiv w:val="1"/>
      <w:marLeft w:val="0"/>
      <w:marRight w:val="0"/>
      <w:marTop w:val="0"/>
      <w:marBottom w:val="0"/>
      <w:divBdr>
        <w:top w:val="none" w:sz="0" w:space="0" w:color="auto"/>
        <w:left w:val="none" w:sz="0" w:space="0" w:color="auto"/>
        <w:bottom w:val="none" w:sz="0" w:space="0" w:color="auto"/>
        <w:right w:val="none" w:sz="0" w:space="0" w:color="auto"/>
      </w:divBdr>
    </w:div>
    <w:div w:id="1004161111">
      <w:bodyDiv w:val="1"/>
      <w:marLeft w:val="0"/>
      <w:marRight w:val="0"/>
      <w:marTop w:val="0"/>
      <w:marBottom w:val="0"/>
      <w:divBdr>
        <w:top w:val="none" w:sz="0" w:space="0" w:color="auto"/>
        <w:left w:val="none" w:sz="0" w:space="0" w:color="auto"/>
        <w:bottom w:val="none" w:sz="0" w:space="0" w:color="auto"/>
        <w:right w:val="none" w:sz="0" w:space="0" w:color="auto"/>
      </w:divBdr>
    </w:div>
    <w:div w:id="1017190874">
      <w:bodyDiv w:val="1"/>
      <w:marLeft w:val="0"/>
      <w:marRight w:val="0"/>
      <w:marTop w:val="0"/>
      <w:marBottom w:val="0"/>
      <w:divBdr>
        <w:top w:val="none" w:sz="0" w:space="0" w:color="auto"/>
        <w:left w:val="none" w:sz="0" w:space="0" w:color="auto"/>
        <w:bottom w:val="none" w:sz="0" w:space="0" w:color="auto"/>
        <w:right w:val="none" w:sz="0" w:space="0" w:color="auto"/>
      </w:divBdr>
    </w:div>
    <w:div w:id="1173685999">
      <w:bodyDiv w:val="1"/>
      <w:marLeft w:val="0"/>
      <w:marRight w:val="0"/>
      <w:marTop w:val="0"/>
      <w:marBottom w:val="0"/>
      <w:divBdr>
        <w:top w:val="none" w:sz="0" w:space="0" w:color="auto"/>
        <w:left w:val="none" w:sz="0" w:space="0" w:color="auto"/>
        <w:bottom w:val="none" w:sz="0" w:space="0" w:color="auto"/>
        <w:right w:val="none" w:sz="0" w:space="0" w:color="auto"/>
      </w:divBdr>
    </w:div>
    <w:div w:id="1278415257">
      <w:bodyDiv w:val="1"/>
      <w:marLeft w:val="0"/>
      <w:marRight w:val="0"/>
      <w:marTop w:val="0"/>
      <w:marBottom w:val="0"/>
      <w:divBdr>
        <w:top w:val="none" w:sz="0" w:space="0" w:color="auto"/>
        <w:left w:val="none" w:sz="0" w:space="0" w:color="auto"/>
        <w:bottom w:val="none" w:sz="0" w:space="0" w:color="auto"/>
        <w:right w:val="none" w:sz="0" w:space="0" w:color="auto"/>
      </w:divBdr>
      <w:divsChild>
        <w:div w:id="28721184">
          <w:marLeft w:val="490"/>
          <w:marRight w:val="0"/>
          <w:marTop w:val="360"/>
          <w:marBottom w:val="120"/>
          <w:divBdr>
            <w:top w:val="none" w:sz="0" w:space="0" w:color="auto"/>
            <w:left w:val="none" w:sz="0" w:space="0" w:color="auto"/>
            <w:bottom w:val="none" w:sz="0" w:space="0" w:color="auto"/>
            <w:right w:val="none" w:sz="0" w:space="0" w:color="auto"/>
          </w:divBdr>
        </w:div>
        <w:div w:id="1332098908">
          <w:marLeft w:val="1426"/>
          <w:marRight w:val="0"/>
          <w:marTop w:val="120"/>
          <w:marBottom w:val="120"/>
          <w:divBdr>
            <w:top w:val="none" w:sz="0" w:space="0" w:color="auto"/>
            <w:left w:val="none" w:sz="0" w:space="0" w:color="auto"/>
            <w:bottom w:val="none" w:sz="0" w:space="0" w:color="auto"/>
            <w:right w:val="none" w:sz="0" w:space="0" w:color="auto"/>
          </w:divBdr>
        </w:div>
        <w:div w:id="1554384267">
          <w:marLeft w:val="1426"/>
          <w:marRight w:val="0"/>
          <w:marTop w:val="120"/>
          <w:marBottom w:val="120"/>
          <w:divBdr>
            <w:top w:val="none" w:sz="0" w:space="0" w:color="auto"/>
            <w:left w:val="none" w:sz="0" w:space="0" w:color="auto"/>
            <w:bottom w:val="none" w:sz="0" w:space="0" w:color="auto"/>
            <w:right w:val="none" w:sz="0" w:space="0" w:color="auto"/>
          </w:divBdr>
        </w:div>
        <w:div w:id="70008515">
          <w:marLeft w:val="1426"/>
          <w:marRight w:val="0"/>
          <w:marTop w:val="120"/>
          <w:marBottom w:val="120"/>
          <w:divBdr>
            <w:top w:val="none" w:sz="0" w:space="0" w:color="auto"/>
            <w:left w:val="none" w:sz="0" w:space="0" w:color="auto"/>
            <w:bottom w:val="none" w:sz="0" w:space="0" w:color="auto"/>
            <w:right w:val="none" w:sz="0" w:space="0" w:color="auto"/>
          </w:divBdr>
        </w:div>
      </w:divsChild>
    </w:div>
    <w:div w:id="1327126326">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777749676">
      <w:bodyDiv w:val="1"/>
      <w:marLeft w:val="0"/>
      <w:marRight w:val="0"/>
      <w:marTop w:val="0"/>
      <w:marBottom w:val="0"/>
      <w:divBdr>
        <w:top w:val="none" w:sz="0" w:space="0" w:color="auto"/>
        <w:left w:val="none" w:sz="0" w:space="0" w:color="auto"/>
        <w:bottom w:val="none" w:sz="0" w:space="0" w:color="auto"/>
        <w:right w:val="none" w:sz="0" w:space="0" w:color="auto"/>
      </w:divBdr>
    </w:div>
    <w:div w:id="1905529690">
      <w:bodyDiv w:val="1"/>
      <w:marLeft w:val="0"/>
      <w:marRight w:val="0"/>
      <w:marTop w:val="0"/>
      <w:marBottom w:val="0"/>
      <w:divBdr>
        <w:top w:val="none" w:sz="0" w:space="0" w:color="auto"/>
        <w:left w:val="none" w:sz="0" w:space="0" w:color="auto"/>
        <w:bottom w:val="none" w:sz="0" w:space="0" w:color="auto"/>
        <w:right w:val="none" w:sz="0" w:space="0" w:color="auto"/>
      </w:divBdr>
      <w:divsChild>
        <w:div w:id="1625890961">
          <w:marLeft w:val="490"/>
          <w:marRight w:val="0"/>
          <w:marTop w:val="360"/>
          <w:marBottom w:val="120"/>
          <w:divBdr>
            <w:top w:val="none" w:sz="0" w:space="0" w:color="auto"/>
            <w:left w:val="none" w:sz="0" w:space="0" w:color="auto"/>
            <w:bottom w:val="none" w:sz="0" w:space="0" w:color="auto"/>
            <w:right w:val="none" w:sz="0" w:space="0" w:color="auto"/>
          </w:divBdr>
        </w:div>
        <w:div w:id="1309047379">
          <w:marLeft w:val="1426"/>
          <w:marRight w:val="0"/>
          <w:marTop w:val="120"/>
          <w:marBottom w:val="120"/>
          <w:divBdr>
            <w:top w:val="none" w:sz="0" w:space="0" w:color="auto"/>
            <w:left w:val="none" w:sz="0" w:space="0" w:color="auto"/>
            <w:bottom w:val="none" w:sz="0" w:space="0" w:color="auto"/>
            <w:right w:val="none" w:sz="0" w:space="0" w:color="auto"/>
          </w:divBdr>
        </w:div>
      </w:divsChild>
    </w:div>
    <w:div w:id="19649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sz="1400"/>
              <a:t>E</a:t>
            </a:r>
            <a:r>
              <a:rPr lang="en-US" sz="1400" baseline="-25000"/>
              <a:t>IG</a:t>
            </a:r>
            <a:r>
              <a:rPr lang="en-US" sz="1400"/>
              <a:t> versus GBAS-LTP</a:t>
            </a:r>
            <a:r>
              <a:rPr lang="en-US" sz="1400" baseline="0"/>
              <a:t> Distance</a:t>
            </a:r>
            <a:endParaRPr lang="en-US" sz="1400"/>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Sheet1!$A$2:$A$8</c:f>
              <c:numCache>
                <c:formatCode>General</c:formatCode>
                <c:ptCount val="7"/>
                <c:pt idx="0">
                  <c:v>1</c:v>
                </c:pt>
                <c:pt idx="1">
                  <c:v>2</c:v>
                </c:pt>
                <c:pt idx="2">
                  <c:v>3</c:v>
                </c:pt>
                <c:pt idx="3">
                  <c:v>4</c:v>
                </c:pt>
                <c:pt idx="4">
                  <c:v>5</c:v>
                </c:pt>
                <c:pt idx="5">
                  <c:v>6</c:v>
                </c:pt>
                <c:pt idx="6">
                  <c:v>7</c:v>
                </c:pt>
              </c:numCache>
            </c:numRef>
          </c:xVal>
          <c:yVal>
            <c:numRef>
              <c:f>Sheet1!$B$2:$B$8</c:f>
              <c:numCache>
                <c:formatCode>General</c:formatCode>
                <c:ptCount val="7"/>
                <c:pt idx="0">
                  <c:v>0.7</c:v>
                </c:pt>
                <c:pt idx="1">
                  <c:v>1.2</c:v>
                </c:pt>
                <c:pt idx="2">
                  <c:v>1.7</c:v>
                </c:pt>
                <c:pt idx="3">
                  <c:v>2.2000000000000002</c:v>
                </c:pt>
                <c:pt idx="4">
                  <c:v>2.7</c:v>
                </c:pt>
                <c:pt idx="5">
                  <c:v>3.2</c:v>
                </c:pt>
                <c:pt idx="6">
                  <c:v>3.7</c:v>
                </c:pt>
              </c:numCache>
            </c:numRef>
          </c:yVal>
          <c:smooth val="1"/>
          <c:extLst xmlns:c16r2="http://schemas.microsoft.com/office/drawing/2015/06/chart">
            <c:ext xmlns:c16="http://schemas.microsoft.com/office/drawing/2014/chart" uri="{C3380CC4-5D6E-409C-BE32-E72D297353CC}">
              <c16:uniqueId val="{00000000-8DCB-4605-B7ED-808DBEC7EF88}"/>
            </c:ext>
          </c:extLst>
        </c:ser>
        <c:dLbls>
          <c:showLegendKey val="0"/>
          <c:showVal val="0"/>
          <c:showCatName val="0"/>
          <c:showSerName val="0"/>
          <c:showPercent val="0"/>
          <c:showBubbleSize val="0"/>
        </c:dLbls>
        <c:axId val="443899384"/>
        <c:axId val="443899776"/>
      </c:scatterChart>
      <c:valAx>
        <c:axId val="443899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D (km)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43899776"/>
        <c:crosses val="autoZero"/>
        <c:crossBetween val="midCat"/>
      </c:valAx>
      <c:valAx>
        <c:axId val="44389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E</a:t>
                </a:r>
                <a:r>
                  <a:rPr lang="en-US" baseline="-25000"/>
                  <a:t>IG</a:t>
                </a:r>
                <a:r>
                  <a:rPr lang="en-US"/>
                  <a:t>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438993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6D19-5ECF-49DB-AADB-A3108C7F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2020-10-07T07:37:00Z</dcterms:created>
  <dcterms:modified xsi:type="dcterms:W3CDTF">2020-10-07T07:38:00Z</dcterms:modified>
</cp:coreProperties>
</file>